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kinsoku/>
        <w:wordWrap/>
        <w:topLinePunct w:val="0"/>
        <w:bidi w:val="0"/>
        <w:spacing w:line="253"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53"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53"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53"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53"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53"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53"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54"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54"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54"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54"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54"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54" w:lineRule="auto"/>
        <w:rPr>
          <w:rFonts w:hint="default" w:ascii="Times New Roman" w:hAnsi="Times New Roman" w:cs="Times New Roman"/>
          <w:color w:val="auto"/>
          <w:highlight w:val="none"/>
        </w:rPr>
      </w:pPr>
    </w:p>
    <w:p>
      <w:pPr>
        <w:keepNext w:val="0"/>
        <w:keepLines w:val="0"/>
        <w:pageBreakBefore w:val="0"/>
        <w:widowControl/>
        <w:kinsoku/>
        <w:wordWrap/>
        <w:topLinePunct w:val="0"/>
        <w:bidi w:val="0"/>
        <w:spacing w:before="279" w:line="195" w:lineRule="auto"/>
        <w:ind w:right="1054"/>
        <w:jc w:val="center"/>
        <w:rPr>
          <w:rFonts w:hint="eastAsia" w:ascii="Times New Roman" w:hAnsi="Times New Roman" w:eastAsia="方正小标宋_GBK" w:cs="Times New Roman"/>
          <w:color w:val="auto"/>
          <w:spacing w:val="-8"/>
          <w:sz w:val="72"/>
          <w:szCs w:val="72"/>
          <w:highlight w:val="none"/>
          <w:lang w:eastAsia="zh-CN"/>
        </w:rPr>
      </w:pPr>
      <w:r>
        <w:rPr>
          <w:rFonts w:hint="eastAsia" w:ascii="Times New Roman" w:hAnsi="Times New Roman" w:eastAsia="方正小标宋_GBK" w:cs="Times New Roman"/>
          <w:color w:val="auto"/>
          <w:spacing w:val="-8"/>
          <w:sz w:val="72"/>
          <w:szCs w:val="72"/>
          <w:highlight w:val="none"/>
          <w:lang w:eastAsia="zh-CN"/>
        </w:rPr>
        <w:t>资兴市消防救援大队</w:t>
      </w:r>
    </w:p>
    <w:p>
      <w:pPr>
        <w:keepNext w:val="0"/>
        <w:keepLines w:val="0"/>
        <w:pageBreakBefore w:val="0"/>
        <w:widowControl/>
        <w:kinsoku/>
        <w:wordWrap/>
        <w:topLinePunct w:val="0"/>
        <w:bidi w:val="0"/>
        <w:spacing w:before="279" w:line="195" w:lineRule="auto"/>
        <w:ind w:right="1054"/>
        <w:jc w:val="center"/>
        <w:rPr>
          <w:rFonts w:hint="default" w:ascii="Times New Roman" w:hAnsi="Times New Roman" w:eastAsia="方正小标宋_GBK" w:cs="Times New Roman"/>
          <w:color w:val="auto"/>
          <w:sz w:val="72"/>
          <w:szCs w:val="72"/>
          <w:highlight w:val="none"/>
        </w:rPr>
      </w:pPr>
      <w:r>
        <w:rPr>
          <w:rFonts w:hint="default" w:ascii="Times New Roman" w:hAnsi="Times New Roman" w:eastAsia="Times New Roman" w:cs="Times New Roman"/>
          <w:color w:val="auto"/>
          <w:spacing w:val="-2"/>
          <w:sz w:val="72"/>
          <w:szCs w:val="72"/>
          <w:highlight w:val="none"/>
        </w:rPr>
        <w:t>202</w:t>
      </w:r>
      <w:r>
        <w:rPr>
          <w:rFonts w:hint="default" w:ascii="Times New Roman" w:hAnsi="Times New Roman" w:eastAsia="宋体" w:cs="Times New Roman"/>
          <w:color w:val="auto"/>
          <w:spacing w:val="-2"/>
          <w:sz w:val="72"/>
          <w:szCs w:val="72"/>
          <w:highlight w:val="none"/>
          <w:lang w:val="en-US" w:eastAsia="zh-CN"/>
        </w:rPr>
        <w:t xml:space="preserve">5 </w:t>
      </w:r>
      <w:r>
        <w:rPr>
          <w:rFonts w:hint="default" w:ascii="Times New Roman" w:hAnsi="Times New Roman" w:eastAsia="方正小标宋_GBK" w:cs="Times New Roman"/>
          <w:color w:val="auto"/>
          <w:spacing w:val="-2"/>
          <w:sz w:val="72"/>
          <w:szCs w:val="72"/>
          <w:highlight w:val="none"/>
        </w:rPr>
        <w:t>年</w:t>
      </w:r>
      <w:r>
        <w:rPr>
          <w:rFonts w:hint="eastAsia" w:ascii="Times New Roman" w:hAnsi="Times New Roman" w:eastAsia="方正小标宋_GBK" w:cs="Times New Roman"/>
          <w:color w:val="auto"/>
          <w:spacing w:val="-2"/>
          <w:sz w:val="72"/>
          <w:szCs w:val="72"/>
          <w:highlight w:val="none"/>
          <w:lang w:eastAsia="zh-CN"/>
        </w:rPr>
        <w:t>经费</w:t>
      </w:r>
      <w:r>
        <w:rPr>
          <w:rFonts w:hint="default" w:ascii="Times New Roman" w:hAnsi="Times New Roman" w:eastAsia="方正小标宋_GBK" w:cs="Times New Roman"/>
          <w:color w:val="auto"/>
          <w:spacing w:val="-2"/>
          <w:sz w:val="72"/>
          <w:szCs w:val="72"/>
          <w:highlight w:val="none"/>
        </w:rPr>
        <w:t>决算</w:t>
      </w:r>
    </w:p>
    <w:p>
      <w:pPr>
        <w:pStyle w:val="5"/>
        <w:keepNext w:val="0"/>
        <w:keepLines w:val="0"/>
        <w:pageBreakBefore w:val="0"/>
        <w:widowControl/>
        <w:kinsoku/>
        <w:wordWrap/>
        <w:topLinePunct w:val="0"/>
        <w:bidi w:val="0"/>
        <w:spacing w:line="251"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51" w:lineRule="auto"/>
        <w:rPr>
          <w:rFonts w:hint="default" w:ascii="Times New Roman" w:hAnsi="Times New Roman" w:cs="Times New Roman"/>
          <w:color w:val="auto"/>
          <w:highlight w:val="none"/>
        </w:rPr>
      </w:pPr>
      <w:r>
        <w:rPr>
          <w:color w:val="auto"/>
          <w:highlight w:val="none"/>
        </w:rPr>
        <w:drawing>
          <wp:anchor distT="0" distB="0" distL="114300" distR="114300" simplePos="0" relativeHeight="251675648" behindDoc="0" locked="0" layoutInCell="1" allowOverlap="1">
            <wp:simplePos x="0" y="0"/>
            <wp:positionH relativeFrom="column">
              <wp:posOffset>1574165</wp:posOffset>
            </wp:positionH>
            <wp:positionV relativeFrom="paragraph">
              <wp:posOffset>33655</wp:posOffset>
            </wp:positionV>
            <wp:extent cx="2341245" cy="2186305"/>
            <wp:effectExtent l="0" t="0" r="1905" b="4445"/>
            <wp:wrapSquare wrapText="bothSides"/>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6"/>
                    <a:stretch>
                      <a:fillRect/>
                    </a:stretch>
                  </pic:blipFill>
                  <pic:spPr>
                    <a:xfrm>
                      <a:off x="0" y="0"/>
                      <a:ext cx="2341245" cy="2186305"/>
                    </a:xfrm>
                    <a:prstGeom prst="rect">
                      <a:avLst/>
                    </a:prstGeom>
                    <a:noFill/>
                    <a:ln>
                      <a:noFill/>
                    </a:ln>
                  </pic:spPr>
                </pic:pic>
              </a:graphicData>
            </a:graphic>
          </wp:anchor>
        </w:drawing>
      </w:r>
    </w:p>
    <w:p>
      <w:pPr>
        <w:pStyle w:val="5"/>
        <w:keepNext w:val="0"/>
        <w:keepLines w:val="0"/>
        <w:pageBreakBefore w:val="0"/>
        <w:widowControl/>
        <w:kinsoku/>
        <w:wordWrap/>
        <w:topLinePunct w:val="0"/>
        <w:bidi w:val="0"/>
        <w:spacing w:line="251"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51"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51"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52"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52"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52"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52" w:lineRule="auto"/>
        <w:rPr>
          <w:rFonts w:hint="default" w:ascii="Times New Roman" w:hAnsi="Times New Roman" w:cs="Times New Roman"/>
          <w:color w:val="auto"/>
          <w:highlight w:val="none"/>
        </w:rPr>
      </w:pPr>
    </w:p>
    <w:p>
      <w:pPr>
        <w:keepNext w:val="0"/>
        <w:keepLines w:val="0"/>
        <w:pageBreakBefore w:val="0"/>
        <w:widowControl/>
        <w:kinsoku/>
        <w:wordWrap/>
        <w:topLinePunct w:val="0"/>
        <w:bidi w:val="0"/>
        <w:spacing w:line="3137" w:lineRule="exact"/>
        <w:ind w:firstLine="2685"/>
        <w:rPr>
          <w:rFonts w:hint="default" w:ascii="Times New Roman" w:hAnsi="Times New Roman" w:cs="Times New Roman"/>
          <w:color w:val="auto"/>
          <w:highlight w:val="none"/>
        </w:rPr>
      </w:pPr>
    </w:p>
    <w:p>
      <w:pPr>
        <w:keepNext w:val="0"/>
        <w:keepLines w:val="0"/>
        <w:pageBreakBefore w:val="0"/>
        <w:widowControl/>
        <w:kinsoku/>
        <w:wordWrap/>
        <w:topLinePunct w:val="0"/>
        <w:bidi w:val="0"/>
        <w:spacing w:line="3137" w:lineRule="exact"/>
        <w:rPr>
          <w:rFonts w:hint="default" w:ascii="Times New Roman" w:hAnsi="Times New Roman" w:cs="Times New Roman"/>
          <w:color w:val="auto"/>
          <w:highlight w:val="none"/>
        </w:rPr>
        <w:sectPr>
          <w:pgSz w:w="11907" w:h="16839"/>
          <w:pgMar w:top="2098" w:right="1531" w:bottom="1531" w:left="1531" w:header="0" w:footer="0" w:gutter="0"/>
          <w:pgBorders>
            <w:top w:val="none" w:sz="0" w:space="0"/>
            <w:left w:val="none" w:sz="0" w:space="0"/>
            <w:bottom w:val="none" w:sz="0" w:space="0"/>
            <w:right w:val="none" w:sz="0" w:space="0"/>
          </w:pgBorders>
          <w:pgNumType w:fmt="decimal"/>
          <w:cols w:space="720" w:num="1"/>
        </w:sectPr>
      </w:pPr>
    </w:p>
    <w:p>
      <w:pPr>
        <w:pStyle w:val="5"/>
        <w:keepNext w:val="0"/>
        <w:keepLines w:val="0"/>
        <w:pageBreakBefore w:val="0"/>
        <w:widowControl/>
        <w:kinsoku/>
        <w:wordWrap/>
        <w:topLinePunct w:val="0"/>
        <w:bidi w:val="0"/>
        <w:spacing w:line="297" w:lineRule="auto"/>
        <w:rPr>
          <w:rFonts w:hint="default" w:ascii="Times New Roman" w:hAnsi="Times New Roman" w:cs="Times New Roman"/>
          <w:color w:val="auto"/>
          <w:highlight w:val="none"/>
        </w:rPr>
      </w:pPr>
    </w:p>
    <w:sdt>
      <w:sdtPr>
        <w:rPr>
          <w:rFonts w:hint="eastAsia" w:ascii="方正楷体_GBK" w:hAnsi="方正楷体_GBK" w:eastAsia="方正楷体_GBK" w:cs="方正楷体_GBK"/>
          <w:snapToGrid w:val="0"/>
          <w:color w:val="000000"/>
          <w:kern w:val="0"/>
          <w:sz w:val="28"/>
          <w:szCs w:val="28"/>
          <w:lang w:val="en-US" w:eastAsia="en-US" w:bidi="ar-SA"/>
        </w:rPr>
        <w:id w:val="684682108"/>
        <w15:color w:val="DBDBDB"/>
        <w:docPartObj>
          <w:docPartGallery w:val="Table of Contents"/>
          <w:docPartUnique/>
        </w:docPartObj>
      </w:sdtPr>
      <w:sdtEndPr>
        <w:rPr>
          <w:rFonts w:hint="default" w:ascii="Times New Roman" w:hAnsi="Times New Roman" w:eastAsia="方正楷体_GBK" w:cs="Times New Roman"/>
          <w:snapToGrid w:val="0"/>
          <w:color w:val="auto"/>
          <w:kern w:val="0"/>
          <w:sz w:val="21"/>
          <w:szCs w:val="31"/>
          <w:highlight w:val="none"/>
          <w:lang w:val="en-US" w:eastAsia="en-US" w:bidi="ar-SA"/>
        </w:rPr>
      </w:sdtEndPr>
      <w:sdtContent>
        <w:p>
          <w:pPr>
            <w:keepNext w:val="0"/>
            <w:keepLines w:val="0"/>
            <w:pageBreakBefore w:val="0"/>
            <w:widowControl/>
            <w:kinsoku/>
            <w:wordWrap/>
            <w:topLinePunct w:val="0"/>
            <w:bidi w:val="0"/>
            <w:spacing w:before="0" w:beforeLines="0" w:after="0" w:afterLines="0" w:line="240" w:lineRule="auto"/>
            <w:ind w:left="0" w:leftChars="0" w:right="0" w:rightChars="0" w:firstLine="0" w:firstLineChars="0"/>
            <w:jc w:val="center"/>
            <w:rPr>
              <w:rFonts w:hint="eastAsia" w:ascii="方正楷体_GBK" w:hAnsi="方正楷体_GBK" w:eastAsia="方正楷体_GBK" w:cs="方正楷体_GBK"/>
              <w:sz w:val="28"/>
              <w:szCs w:val="28"/>
            </w:rPr>
          </w:pPr>
          <w:bookmarkStart w:id="0" w:name="bookmark1"/>
          <w:bookmarkEnd w:id="0"/>
          <w:r>
            <w:rPr>
              <w:rFonts w:hint="eastAsia" w:ascii="方正楷体_GBK" w:hAnsi="方正楷体_GBK" w:eastAsia="方正楷体_GBK" w:cs="方正楷体_GBK"/>
              <w:sz w:val="52"/>
              <w:szCs w:val="52"/>
            </w:rPr>
            <w:t>目</w:t>
          </w:r>
          <w:r>
            <w:rPr>
              <w:rFonts w:hint="eastAsia" w:ascii="方正楷体_GBK" w:hAnsi="方正楷体_GBK" w:eastAsia="方正楷体_GBK" w:cs="方正楷体_GBK"/>
              <w:sz w:val="52"/>
              <w:szCs w:val="52"/>
              <w:lang w:val="en-US" w:eastAsia="zh-CN"/>
            </w:rPr>
            <w:t xml:space="preserve">  </w:t>
          </w:r>
          <w:r>
            <w:rPr>
              <w:rFonts w:hint="eastAsia" w:ascii="方正楷体_GBK" w:hAnsi="方正楷体_GBK" w:eastAsia="方正楷体_GBK" w:cs="方正楷体_GBK"/>
              <w:sz w:val="52"/>
              <w:szCs w:val="52"/>
            </w:rPr>
            <w:t>录</w:t>
          </w:r>
        </w:p>
        <w:p>
          <w:pPr>
            <w:pStyle w:val="9"/>
            <w:keepNext w:val="0"/>
            <w:keepLines w:val="0"/>
            <w:pageBreakBefore w:val="0"/>
            <w:widowControl/>
            <w:tabs>
              <w:tab w:val="right" w:leader="dot" w:pos="8845"/>
            </w:tabs>
            <w:kinsoku/>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sz w:val="28"/>
              <w:szCs w:val="28"/>
            </w:rPr>
          </w:pP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color w:val="auto"/>
              <w:sz w:val="28"/>
              <w:szCs w:val="28"/>
              <w:highlight w:val="none"/>
            </w:rPr>
            <w:instrText xml:space="preserve">TOC \o "1-3" \h \u </w:instrText>
          </w:r>
          <w:r>
            <w:rPr>
              <w:rFonts w:hint="eastAsia" w:ascii="方正楷体_GBK" w:hAnsi="方正楷体_GBK" w:eastAsia="方正楷体_GBK" w:cs="方正楷体_GBK"/>
              <w:color w:val="auto"/>
              <w:sz w:val="28"/>
              <w:szCs w:val="28"/>
              <w:highlight w:val="none"/>
            </w:rPr>
            <w:fldChar w:fldCharType="separate"/>
          </w:r>
          <w:r>
            <w:rPr>
              <w:rFonts w:hint="eastAsia" w:ascii="方正黑体_GBK" w:hAnsi="方正黑体_GBK" w:eastAsia="方正黑体_GBK" w:cs="方正黑体_GBK"/>
              <w:color w:val="auto"/>
              <w:sz w:val="28"/>
              <w:szCs w:val="28"/>
              <w:highlight w:val="none"/>
            </w:rPr>
            <w:fldChar w:fldCharType="begin"/>
          </w:r>
          <w:r>
            <w:rPr>
              <w:rFonts w:hint="eastAsia" w:ascii="方正黑体_GBK" w:hAnsi="方正黑体_GBK" w:eastAsia="方正黑体_GBK" w:cs="方正黑体_GBK"/>
              <w:sz w:val="28"/>
              <w:szCs w:val="28"/>
              <w:highlight w:val="none"/>
            </w:rPr>
            <w:instrText xml:space="preserve"> HYPERLINK \l _Toc509477910 </w:instrText>
          </w:r>
          <w:r>
            <w:rPr>
              <w:rFonts w:hint="eastAsia" w:ascii="方正黑体_GBK" w:hAnsi="方正黑体_GBK" w:eastAsia="方正黑体_GBK" w:cs="方正黑体_GBK"/>
              <w:sz w:val="28"/>
              <w:szCs w:val="28"/>
              <w:highlight w:val="none"/>
            </w:rPr>
            <w:fldChar w:fldCharType="separate"/>
          </w:r>
          <w:r>
            <w:rPr>
              <w:rFonts w:hint="eastAsia" w:ascii="方正黑体_GBK" w:hAnsi="方正黑体_GBK" w:eastAsia="方正黑体_GBK" w:cs="方正黑体_GBK"/>
              <w:spacing w:val="-6"/>
              <w:sz w:val="28"/>
              <w:szCs w:val="28"/>
              <w:highlight w:val="none"/>
            </w:rPr>
            <w:t>第一部分</w:t>
          </w:r>
          <w:r>
            <w:rPr>
              <w:rFonts w:hint="eastAsia" w:ascii="方正黑体_GBK" w:hAnsi="方正黑体_GBK" w:eastAsia="方正黑体_GBK" w:cs="方正黑体_GBK"/>
              <w:color w:val="auto"/>
              <w:sz w:val="28"/>
              <w:szCs w:val="28"/>
              <w:highlight w:val="none"/>
            </w:rPr>
            <w:fldChar w:fldCharType="end"/>
          </w:r>
          <w:r>
            <w:rPr>
              <w:rFonts w:hint="eastAsia" w:ascii="方正楷体_GBK" w:hAnsi="方正楷体_GBK" w:eastAsia="方正楷体_GBK" w:cs="方正楷体_GBK"/>
              <w:color w:val="auto"/>
              <w:sz w:val="28"/>
              <w:szCs w:val="28"/>
              <w:highlight w:val="none"/>
              <w:lang w:val="en-US" w:eastAsia="zh-CN"/>
            </w:rPr>
            <w:t xml:space="preserve">    </w:t>
          </w: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sz w:val="28"/>
              <w:szCs w:val="28"/>
              <w:highlight w:val="none"/>
            </w:rPr>
            <w:instrText xml:space="preserve"> HYPERLINK \l _Toc1863925695 </w:instrText>
          </w:r>
          <w:r>
            <w:rPr>
              <w:rFonts w:hint="eastAsia" w:ascii="方正楷体_GBK" w:hAnsi="方正楷体_GBK" w:eastAsia="方正楷体_GBK" w:cs="方正楷体_GBK"/>
              <w:sz w:val="28"/>
              <w:szCs w:val="28"/>
              <w:highlight w:val="none"/>
            </w:rPr>
            <w:fldChar w:fldCharType="separate"/>
          </w:r>
          <w:r>
            <w:rPr>
              <w:rFonts w:hint="eastAsia" w:ascii="方正黑体_GBK" w:hAnsi="方正黑体_GBK" w:eastAsia="方正黑体_GBK" w:cs="方正黑体_GBK"/>
              <w:spacing w:val="-7"/>
              <w:sz w:val="28"/>
              <w:szCs w:val="28"/>
              <w:highlight w:val="none"/>
              <w:lang w:eastAsia="zh-CN"/>
            </w:rPr>
            <w:t>资兴市消防救援大队</w:t>
          </w:r>
          <w:r>
            <w:rPr>
              <w:rFonts w:hint="eastAsia" w:ascii="方正黑体_GBK" w:hAnsi="方正黑体_GBK" w:eastAsia="方正黑体_GBK" w:cs="方正黑体_GBK"/>
              <w:spacing w:val="-7"/>
              <w:sz w:val="28"/>
              <w:szCs w:val="28"/>
              <w:highlight w:val="none"/>
            </w:rPr>
            <w:t>概</w:t>
          </w:r>
          <w:r>
            <w:rPr>
              <w:rFonts w:hint="eastAsia" w:ascii="方正黑体_GBK" w:hAnsi="方正黑体_GBK" w:eastAsia="方正黑体_GBK" w:cs="方正黑体_GBK"/>
              <w:spacing w:val="-7"/>
              <w:sz w:val="28"/>
              <w:szCs w:val="28"/>
              <w:highlight w:val="none"/>
              <w:lang w:eastAsia="zh-CN"/>
            </w:rPr>
            <w:t>况</w:t>
          </w:r>
          <w:r>
            <w:rPr>
              <w:rFonts w:hint="eastAsia" w:ascii="方正楷体_GBK" w:hAnsi="方正楷体_GBK" w:eastAsia="方正楷体_GBK" w:cs="方正楷体_GBK"/>
              <w:sz w:val="28"/>
              <w:szCs w:val="28"/>
            </w:rPr>
            <w:tab/>
          </w:r>
          <w:r>
            <w:rPr>
              <w:rFonts w:hint="eastAsia" w:ascii="方正楷体_GBK" w:hAnsi="方正楷体_GBK" w:eastAsia="方正楷体_GBK" w:cs="方正楷体_GBK"/>
              <w:sz w:val="28"/>
              <w:szCs w:val="28"/>
            </w:rPr>
            <w:fldChar w:fldCharType="begin"/>
          </w:r>
          <w:r>
            <w:rPr>
              <w:rFonts w:hint="eastAsia" w:ascii="方正楷体_GBK" w:hAnsi="方正楷体_GBK" w:eastAsia="方正楷体_GBK" w:cs="方正楷体_GBK"/>
              <w:sz w:val="28"/>
              <w:szCs w:val="28"/>
            </w:rPr>
            <w:instrText xml:space="preserve"> PAGEREF _Toc1863925695 \h </w:instrText>
          </w:r>
          <w:r>
            <w:rPr>
              <w:rFonts w:hint="eastAsia" w:ascii="方正楷体_GBK" w:hAnsi="方正楷体_GBK" w:eastAsia="方正楷体_GBK" w:cs="方正楷体_GBK"/>
              <w:sz w:val="28"/>
              <w:szCs w:val="28"/>
            </w:rPr>
            <w:fldChar w:fldCharType="separate"/>
          </w:r>
          <w:r>
            <w:rPr>
              <w:rFonts w:hint="eastAsia" w:ascii="方正楷体_GBK" w:hAnsi="方正楷体_GBK" w:eastAsia="方正楷体_GBK" w:cs="方正楷体_GBK"/>
              <w:sz w:val="28"/>
              <w:szCs w:val="28"/>
            </w:rPr>
            <w:t>1</w:t>
          </w:r>
          <w:r>
            <w:rPr>
              <w:rFonts w:hint="eastAsia" w:ascii="方正楷体_GBK" w:hAnsi="方正楷体_GBK" w:eastAsia="方正楷体_GBK" w:cs="方正楷体_GBK"/>
              <w:sz w:val="28"/>
              <w:szCs w:val="28"/>
            </w:rPr>
            <w:fldChar w:fldCharType="end"/>
          </w:r>
          <w:r>
            <w:rPr>
              <w:rFonts w:hint="eastAsia" w:ascii="方正楷体_GBK" w:hAnsi="方正楷体_GBK" w:eastAsia="方正楷体_GBK" w:cs="方正楷体_GBK"/>
              <w:color w:val="auto"/>
              <w:sz w:val="28"/>
              <w:szCs w:val="28"/>
              <w:highlight w:val="none"/>
            </w:rPr>
            <w:fldChar w:fldCharType="end"/>
          </w:r>
        </w:p>
        <w:p>
          <w:pPr>
            <w:pStyle w:val="9"/>
            <w:keepNext w:val="0"/>
            <w:keepLines w:val="0"/>
            <w:pageBreakBefore w:val="0"/>
            <w:widowControl/>
            <w:tabs>
              <w:tab w:val="right" w:leader="dot" w:pos="8845"/>
            </w:tabs>
            <w:kinsoku/>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sz w:val="28"/>
              <w:szCs w:val="28"/>
            </w:rPr>
          </w:pP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sz w:val="28"/>
              <w:szCs w:val="28"/>
              <w:highlight w:val="none"/>
            </w:rPr>
            <w:instrText xml:space="preserve"> HYPERLINK \l _Toc241871418 </w:instrText>
          </w:r>
          <w:r>
            <w:rPr>
              <w:rFonts w:hint="eastAsia" w:ascii="方正楷体_GBK" w:hAnsi="方正楷体_GBK" w:eastAsia="方正楷体_GBK" w:cs="方正楷体_GBK"/>
              <w:sz w:val="28"/>
              <w:szCs w:val="28"/>
              <w:highlight w:val="none"/>
            </w:rPr>
            <w:fldChar w:fldCharType="separate"/>
          </w:r>
          <w:r>
            <w:rPr>
              <w:rFonts w:hint="eastAsia" w:ascii="方正楷体_GBK" w:hAnsi="方正楷体_GBK" w:eastAsia="方正楷体_GBK" w:cs="方正楷体_GBK"/>
              <w:spacing w:val="5"/>
              <w:sz w:val="28"/>
              <w:szCs w:val="28"/>
              <w:highlight w:val="none"/>
            </w:rPr>
            <w:t>一、</w:t>
          </w:r>
          <w:r>
            <w:rPr>
              <w:rFonts w:hint="eastAsia" w:ascii="方正楷体_GBK" w:hAnsi="方正楷体_GBK" w:eastAsia="方正楷体_GBK" w:cs="方正楷体_GBK"/>
              <w:spacing w:val="5"/>
              <w:sz w:val="28"/>
              <w:szCs w:val="28"/>
              <w:highlight w:val="none"/>
              <w:lang w:eastAsia="zh-CN"/>
            </w:rPr>
            <w:t>主要</w:t>
          </w:r>
          <w:r>
            <w:rPr>
              <w:rFonts w:hint="eastAsia" w:ascii="方正楷体_GBK" w:hAnsi="方正楷体_GBK" w:eastAsia="方正楷体_GBK" w:cs="方正楷体_GBK"/>
              <w:spacing w:val="5"/>
              <w:sz w:val="28"/>
              <w:szCs w:val="28"/>
              <w:highlight w:val="none"/>
            </w:rPr>
            <w:t>职责</w:t>
          </w:r>
          <w:r>
            <w:rPr>
              <w:rFonts w:hint="eastAsia" w:ascii="方正楷体_GBK" w:hAnsi="方正楷体_GBK" w:eastAsia="方正楷体_GBK" w:cs="方正楷体_GBK"/>
              <w:sz w:val="28"/>
              <w:szCs w:val="28"/>
            </w:rPr>
            <w:tab/>
          </w:r>
          <w:r>
            <w:rPr>
              <w:rFonts w:hint="eastAsia" w:ascii="方正楷体_GBK" w:hAnsi="方正楷体_GBK" w:eastAsia="方正楷体_GBK" w:cs="方正楷体_GBK"/>
              <w:sz w:val="28"/>
              <w:szCs w:val="28"/>
            </w:rPr>
            <w:fldChar w:fldCharType="begin"/>
          </w:r>
          <w:r>
            <w:rPr>
              <w:rFonts w:hint="eastAsia" w:ascii="方正楷体_GBK" w:hAnsi="方正楷体_GBK" w:eastAsia="方正楷体_GBK" w:cs="方正楷体_GBK"/>
              <w:sz w:val="28"/>
              <w:szCs w:val="28"/>
            </w:rPr>
            <w:instrText xml:space="preserve"> PAGEREF _Toc241871418 \h </w:instrText>
          </w:r>
          <w:r>
            <w:rPr>
              <w:rFonts w:hint="eastAsia" w:ascii="方正楷体_GBK" w:hAnsi="方正楷体_GBK" w:eastAsia="方正楷体_GBK" w:cs="方正楷体_GBK"/>
              <w:sz w:val="28"/>
              <w:szCs w:val="28"/>
            </w:rPr>
            <w:fldChar w:fldCharType="separate"/>
          </w:r>
          <w:r>
            <w:rPr>
              <w:rFonts w:hint="eastAsia" w:ascii="方正楷体_GBK" w:hAnsi="方正楷体_GBK" w:eastAsia="方正楷体_GBK" w:cs="方正楷体_GBK"/>
              <w:sz w:val="28"/>
              <w:szCs w:val="28"/>
            </w:rPr>
            <w:t>2</w:t>
          </w:r>
          <w:r>
            <w:rPr>
              <w:rFonts w:hint="eastAsia" w:ascii="方正楷体_GBK" w:hAnsi="方正楷体_GBK" w:eastAsia="方正楷体_GBK" w:cs="方正楷体_GBK"/>
              <w:sz w:val="28"/>
              <w:szCs w:val="28"/>
            </w:rPr>
            <w:fldChar w:fldCharType="end"/>
          </w:r>
          <w:r>
            <w:rPr>
              <w:rFonts w:hint="eastAsia" w:ascii="方正楷体_GBK" w:hAnsi="方正楷体_GBK" w:eastAsia="方正楷体_GBK" w:cs="方正楷体_GBK"/>
              <w:color w:val="auto"/>
              <w:sz w:val="28"/>
              <w:szCs w:val="28"/>
              <w:highlight w:val="none"/>
            </w:rPr>
            <w:fldChar w:fldCharType="end"/>
          </w:r>
        </w:p>
        <w:p>
          <w:pPr>
            <w:pStyle w:val="9"/>
            <w:keepNext w:val="0"/>
            <w:keepLines w:val="0"/>
            <w:pageBreakBefore w:val="0"/>
            <w:widowControl/>
            <w:tabs>
              <w:tab w:val="right" w:leader="dot" w:pos="8845"/>
            </w:tabs>
            <w:kinsoku/>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sz w:val="28"/>
              <w:szCs w:val="28"/>
            </w:rPr>
          </w:pP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sz w:val="28"/>
              <w:szCs w:val="28"/>
              <w:highlight w:val="none"/>
            </w:rPr>
            <w:instrText xml:space="preserve"> HYPERLINK \l _Toc727024387 </w:instrText>
          </w:r>
          <w:r>
            <w:rPr>
              <w:rFonts w:hint="eastAsia" w:ascii="方正楷体_GBK" w:hAnsi="方正楷体_GBK" w:eastAsia="方正楷体_GBK" w:cs="方正楷体_GBK"/>
              <w:sz w:val="28"/>
              <w:szCs w:val="28"/>
              <w:highlight w:val="none"/>
            </w:rPr>
            <w:fldChar w:fldCharType="separate"/>
          </w:r>
          <w:r>
            <w:rPr>
              <w:rFonts w:hint="eastAsia" w:ascii="方正楷体_GBK" w:hAnsi="方正楷体_GBK" w:eastAsia="方正楷体_GBK" w:cs="方正楷体_GBK"/>
              <w:spacing w:val="6"/>
              <w:sz w:val="28"/>
              <w:szCs w:val="28"/>
              <w:highlight w:val="none"/>
            </w:rPr>
            <w:t>二、机构设置</w:t>
          </w:r>
          <w:r>
            <w:rPr>
              <w:rFonts w:hint="eastAsia" w:ascii="方正楷体_GBK" w:hAnsi="方正楷体_GBK" w:eastAsia="方正楷体_GBK" w:cs="方正楷体_GBK"/>
              <w:sz w:val="28"/>
              <w:szCs w:val="28"/>
            </w:rPr>
            <w:tab/>
          </w:r>
          <w:r>
            <w:rPr>
              <w:rFonts w:hint="eastAsia" w:ascii="方正楷体_GBK" w:hAnsi="方正楷体_GBK" w:eastAsia="方正楷体_GBK" w:cs="方正楷体_GBK"/>
              <w:sz w:val="28"/>
              <w:szCs w:val="28"/>
              <w:lang w:val="en-US" w:eastAsia="zh-CN"/>
            </w:rPr>
            <w:t>3</w:t>
          </w:r>
          <w:r>
            <w:rPr>
              <w:rFonts w:hint="eastAsia" w:ascii="方正楷体_GBK" w:hAnsi="方正楷体_GBK" w:eastAsia="方正楷体_GBK" w:cs="方正楷体_GBK"/>
              <w:color w:val="auto"/>
              <w:sz w:val="28"/>
              <w:szCs w:val="28"/>
              <w:highlight w:val="none"/>
            </w:rPr>
            <w:fldChar w:fldCharType="end"/>
          </w:r>
        </w:p>
        <w:p>
          <w:pPr>
            <w:pStyle w:val="9"/>
            <w:keepNext w:val="0"/>
            <w:keepLines w:val="0"/>
            <w:pageBreakBefore w:val="0"/>
            <w:widowControl/>
            <w:tabs>
              <w:tab w:val="right" w:leader="dot" w:pos="8845"/>
            </w:tabs>
            <w:kinsoku/>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color w:val="auto"/>
              <w:sz w:val="28"/>
              <w:szCs w:val="28"/>
              <w:highlight w:val="none"/>
            </w:rPr>
          </w:pPr>
          <w:r>
            <w:rPr>
              <w:rFonts w:hint="eastAsia" w:ascii="方正黑体_GBK" w:hAnsi="方正黑体_GBK" w:eastAsia="方正黑体_GBK" w:cs="方正黑体_GBK"/>
              <w:color w:val="auto"/>
              <w:sz w:val="28"/>
              <w:szCs w:val="28"/>
              <w:highlight w:val="none"/>
            </w:rPr>
            <w:fldChar w:fldCharType="begin"/>
          </w:r>
          <w:r>
            <w:rPr>
              <w:rFonts w:hint="eastAsia" w:ascii="方正黑体_GBK" w:hAnsi="方正黑体_GBK" w:eastAsia="方正黑体_GBK" w:cs="方正黑体_GBK"/>
              <w:sz w:val="28"/>
              <w:szCs w:val="28"/>
              <w:highlight w:val="none"/>
            </w:rPr>
            <w:instrText xml:space="preserve"> HYPERLINK \l _Toc790115687 </w:instrText>
          </w:r>
          <w:r>
            <w:rPr>
              <w:rFonts w:hint="eastAsia" w:ascii="方正黑体_GBK" w:hAnsi="方正黑体_GBK" w:eastAsia="方正黑体_GBK" w:cs="方正黑体_GBK"/>
              <w:sz w:val="28"/>
              <w:szCs w:val="28"/>
              <w:highlight w:val="none"/>
            </w:rPr>
            <w:fldChar w:fldCharType="separate"/>
          </w:r>
          <w:r>
            <w:rPr>
              <w:rFonts w:hint="eastAsia" w:ascii="方正黑体_GBK" w:hAnsi="方正黑体_GBK" w:eastAsia="方正黑体_GBK" w:cs="方正黑体_GBK"/>
              <w:spacing w:val="-5"/>
              <w:sz w:val="28"/>
              <w:szCs w:val="28"/>
              <w:highlight w:val="none"/>
            </w:rPr>
            <w:t>第二部分</w:t>
          </w:r>
          <w:r>
            <w:rPr>
              <w:rFonts w:hint="eastAsia" w:ascii="方正黑体_GBK" w:hAnsi="方正黑体_GBK" w:eastAsia="方正黑体_GBK" w:cs="方正黑体_GBK"/>
              <w:color w:val="auto"/>
              <w:sz w:val="28"/>
              <w:szCs w:val="28"/>
              <w:highlight w:val="none"/>
            </w:rPr>
            <w:fldChar w:fldCharType="end"/>
          </w:r>
          <w:r>
            <w:rPr>
              <w:rFonts w:hint="eastAsia" w:ascii="方正楷体_GBK" w:hAnsi="方正楷体_GBK" w:eastAsia="方正楷体_GBK" w:cs="方正楷体_GBK"/>
              <w:color w:val="auto"/>
              <w:sz w:val="28"/>
              <w:szCs w:val="28"/>
              <w:highlight w:val="none"/>
              <w:lang w:val="en-US" w:eastAsia="zh-CN"/>
            </w:rPr>
            <w:t xml:space="preserve">    </w:t>
          </w:r>
          <w:r>
            <w:rPr>
              <w:rFonts w:hint="eastAsia" w:ascii="方正黑体_GBK" w:hAnsi="方正黑体_GBK" w:eastAsia="方正黑体_GBK" w:cs="方正黑体_GBK"/>
              <w:spacing w:val="-1"/>
              <w:sz w:val="28"/>
              <w:szCs w:val="28"/>
              <w:highlight w:val="none"/>
            </w:rPr>
            <w:fldChar w:fldCharType="begin"/>
          </w:r>
          <w:r>
            <w:rPr>
              <w:rFonts w:hint="eastAsia" w:ascii="方正黑体_GBK" w:hAnsi="方正黑体_GBK" w:eastAsia="方正黑体_GBK" w:cs="方正黑体_GBK"/>
              <w:spacing w:val="-1"/>
              <w:sz w:val="28"/>
              <w:szCs w:val="28"/>
              <w:highlight w:val="none"/>
            </w:rPr>
            <w:instrText xml:space="preserve"> HYPERLINK \l _Toc1643600123 </w:instrText>
          </w:r>
          <w:r>
            <w:rPr>
              <w:rFonts w:hint="eastAsia" w:ascii="方正黑体_GBK" w:hAnsi="方正黑体_GBK" w:eastAsia="方正黑体_GBK" w:cs="方正黑体_GBK"/>
              <w:spacing w:val="-1"/>
              <w:sz w:val="28"/>
              <w:szCs w:val="28"/>
              <w:highlight w:val="none"/>
            </w:rPr>
            <w:fldChar w:fldCharType="separate"/>
          </w:r>
          <w:r>
            <w:rPr>
              <w:rFonts w:hint="eastAsia" w:ascii="方正黑体_GBK" w:hAnsi="方正黑体_GBK" w:eastAsia="方正黑体_GBK" w:cs="方正黑体_GBK"/>
              <w:spacing w:val="-1"/>
              <w:sz w:val="28"/>
              <w:szCs w:val="28"/>
              <w:highlight w:val="none"/>
            </w:rPr>
            <w:t>202</w:t>
          </w:r>
          <w:r>
            <w:rPr>
              <w:rFonts w:hint="eastAsia" w:ascii="方正黑体_GBK" w:hAnsi="方正黑体_GBK" w:eastAsia="方正黑体_GBK" w:cs="方正黑体_GBK"/>
              <w:spacing w:val="-1"/>
              <w:sz w:val="28"/>
              <w:szCs w:val="28"/>
              <w:highlight w:val="none"/>
              <w:lang w:val="en-US" w:eastAsia="zh-CN"/>
            </w:rPr>
            <w:t>5</w:t>
          </w:r>
          <w:r>
            <w:rPr>
              <w:rFonts w:hint="eastAsia" w:ascii="方正黑体_GBK" w:hAnsi="方正黑体_GBK" w:eastAsia="方正黑体_GBK" w:cs="方正黑体_GBK"/>
              <w:spacing w:val="-1"/>
              <w:sz w:val="28"/>
              <w:szCs w:val="28"/>
              <w:highlight w:val="none"/>
            </w:rPr>
            <w:t xml:space="preserve"> 年度</w:t>
          </w:r>
          <w:r>
            <w:rPr>
              <w:rFonts w:hint="eastAsia" w:ascii="方正黑体_GBK" w:hAnsi="方正黑体_GBK" w:eastAsia="方正黑体_GBK" w:cs="方正黑体_GBK"/>
              <w:spacing w:val="-1"/>
              <w:sz w:val="28"/>
              <w:szCs w:val="28"/>
              <w:highlight w:val="none"/>
              <w:lang w:eastAsia="zh-CN"/>
            </w:rPr>
            <w:t>经费</w:t>
          </w:r>
          <w:r>
            <w:rPr>
              <w:rFonts w:hint="eastAsia" w:ascii="方正黑体_GBK" w:hAnsi="方正黑体_GBK" w:eastAsia="方正黑体_GBK" w:cs="方正黑体_GBK"/>
              <w:spacing w:val="-1"/>
              <w:sz w:val="28"/>
              <w:szCs w:val="28"/>
              <w:highlight w:val="none"/>
            </w:rPr>
            <w:t>决算表</w:t>
          </w:r>
          <w:r>
            <w:rPr>
              <w:rFonts w:hint="eastAsia" w:ascii="方正黑体_GBK" w:hAnsi="方正黑体_GBK" w:eastAsia="方正黑体_GBK" w:cs="方正黑体_GBK"/>
              <w:spacing w:val="-1"/>
              <w:sz w:val="28"/>
              <w:szCs w:val="28"/>
              <w:highlight w:val="none"/>
            </w:rPr>
            <w:tab/>
          </w:r>
          <w:r>
            <w:rPr>
              <w:rFonts w:hint="eastAsia" w:ascii="方正黑体_GBK" w:hAnsi="方正黑体_GBK" w:eastAsia="方正黑体_GBK" w:cs="方正黑体_GBK"/>
              <w:spacing w:val="-1"/>
              <w:sz w:val="28"/>
              <w:szCs w:val="28"/>
              <w:highlight w:val="none"/>
              <w:lang w:val="en-US" w:eastAsia="zh-CN"/>
            </w:rPr>
            <w:t>4</w:t>
          </w:r>
          <w:r>
            <w:rPr>
              <w:rFonts w:hint="eastAsia" w:ascii="方正黑体_GBK" w:hAnsi="方正黑体_GBK" w:eastAsia="方正黑体_GBK" w:cs="方正黑体_GBK"/>
              <w:spacing w:val="-1"/>
              <w:sz w:val="28"/>
              <w:szCs w:val="28"/>
              <w:highlight w:val="none"/>
            </w:rPr>
            <w:fldChar w:fldCharType="end"/>
          </w:r>
        </w:p>
        <w:p>
          <w:pPr>
            <w:pStyle w:val="9"/>
            <w:keepNext w:val="0"/>
            <w:keepLines w:val="0"/>
            <w:pageBreakBefore w:val="0"/>
            <w:widowControl/>
            <w:tabs>
              <w:tab w:val="right" w:leader="dot" w:pos="8845"/>
            </w:tabs>
            <w:kinsoku/>
            <w:wordWrap/>
            <w:overflowPunct/>
            <w:topLinePunct w:val="0"/>
            <w:autoSpaceDE w:val="0"/>
            <w:autoSpaceDN w:val="0"/>
            <w:bidi w:val="0"/>
            <w:adjustRightInd w:val="0"/>
            <w:snapToGrid w:val="0"/>
            <w:spacing w:line="300" w:lineRule="atLeast"/>
            <w:textAlignment w:val="baseline"/>
            <w:rPr>
              <w:rFonts w:hint="default" w:ascii="方正楷体_GBK" w:hAnsi="方正楷体_GBK" w:eastAsia="方正楷体_GBK" w:cs="方正楷体_GBK"/>
              <w:color w:val="auto"/>
              <w:sz w:val="28"/>
              <w:szCs w:val="28"/>
              <w:highlight w:val="none"/>
            </w:rPr>
          </w:pPr>
          <w:r>
            <w:rPr>
              <w:rFonts w:hint="default" w:ascii="方正楷体_GBK" w:hAnsi="方正楷体_GBK" w:eastAsia="方正楷体_GBK" w:cs="方正楷体_GBK"/>
              <w:color w:val="auto"/>
              <w:sz w:val="28"/>
              <w:szCs w:val="28"/>
              <w:highlight w:val="none"/>
            </w:rPr>
            <w:fldChar w:fldCharType="begin"/>
          </w:r>
          <w:r>
            <w:rPr>
              <w:rFonts w:hint="default" w:ascii="方正楷体_GBK" w:hAnsi="方正楷体_GBK" w:eastAsia="方正楷体_GBK" w:cs="方正楷体_GBK"/>
              <w:color w:val="auto"/>
              <w:sz w:val="28"/>
              <w:szCs w:val="28"/>
              <w:highlight w:val="none"/>
            </w:rPr>
            <w:instrText xml:space="preserve"> HYPERLINK \l "bookmark6" </w:instrText>
          </w:r>
          <w:r>
            <w:rPr>
              <w:rFonts w:hint="default" w:ascii="方正楷体_GBK" w:hAnsi="方正楷体_GBK" w:eastAsia="方正楷体_GBK" w:cs="方正楷体_GBK"/>
              <w:color w:val="auto"/>
              <w:sz w:val="28"/>
              <w:szCs w:val="28"/>
              <w:highlight w:val="none"/>
            </w:rPr>
            <w:fldChar w:fldCharType="separate"/>
          </w:r>
          <w:r>
            <w:rPr>
              <w:rFonts w:hint="default" w:ascii="方正楷体_GBK" w:hAnsi="方正楷体_GBK" w:eastAsia="方正楷体_GBK" w:cs="方正楷体_GBK"/>
              <w:color w:val="auto"/>
              <w:sz w:val="28"/>
              <w:szCs w:val="28"/>
              <w:highlight w:val="none"/>
            </w:rPr>
            <w:t xml:space="preserve">一、收入支出决算总表 </w:t>
          </w:r>
          <w:r>
            <w:rPr>
              <w:rFonts w:hint="default" w:ascii="方正楷体_GBK" w:hAnsi="方正楷体_GBK" w:eastAsia="方正楷体_GBK" w:cs="方正楷体_GBK"/>
              <w:color w:val="auto"/>
              <w:sz w:val="28"/>
              <w:szCs w:val="28"/>
              <w:highlight w:val="none"/>
            </w:rPr>
            <w:tab/>
          </w:r>
          <w:r>
            <w:rPr>
              <w:rFonts w:hint="eastAsia" w:ascii="方正楷体_GBK" w:hAnsi="方正楷体_GBK" w:eastAsia="方正楷体_GBK" w:cs="方正楷体_GBK"/>
              <w:color w:val="auto"/>
              <w:sz w:val="28"/>
              <w:szCs w:val="28"/>
              <w:highlight w:val="none"/>
              <w:lang w:val="en-US" w:eastAsia="zh-CN"/>
            </w:rPr>
            <w:t>5</w:t>
          </w:r>
          <w:r>
            <w:rPr>
              <w:rFonts w:hint="default" w:ascii="方正楷体_GBK" w:hAnsi="方正楷体_GBK" w:eastAsia="方正楷体_GBK" w:cs="方正楷体_GBK"/>
              <w:color w:val="auto"/>
              <w:sz w:val="28"/>
              <w:szCs w:val="28"/>
              <w:highlight w:val="none"/>
            </w:rPr>
            <w:fldChar w:fldCharType="end"/>
          </w:r>
        </w:p>
        <w:p>
          <w:pPr>
            <w:pStyle w:val="9"/>
            <w:keepNext w:val="0"/>
            <w:keepLines w:val="0"/>
            <w:pageBreakBefore w:val="0"/>
            <w:widowControl/>
            <w:tabs>
              <w:tab w:val="right" w:leader="dot" w:pos="8845"/>
            </w:tabs>
            <w:kinsoku/>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color w:val="auto"/>
              <w:sz w:val="28"/>
              <w:szCs w:val="28"/>
              <w:highlight w:val="none"/>
              <w:lang w:val="en-US" w:eastAsia="zh-CN"/>
            </w:rPr>
          </w:pPr>
          <w:r>
            <w:rPr>
              <w:rFonts w:hint="default" w:ascii="方正楷体_GBK" w:hAnsi="方正楷体_GBK" w:eastAsia="方正楷体_GBK" w:cs="方正楷体_GBK"/>
              <w:color w:val="auto"/>
              <w:sz w:val="28"/>
              <w:szCs w:val="28"/>
              <w:highlight w:val="none"/>
            </w:rPr>
            <w:fldChar w:fldCharType="begin"/>
          </w:r>
          <w:r>
            <w:rPr>
              <w:rFonts w:hint="default" w:ascii="方正楷体_GBK" w:hAnsi="方正楷体_GBK" w:eastAsia="方正楷体_GBK" w:cs="方正楷体_GBK"/>
              <w:color w:val="auto"/>
              <w:sz w:val="28"/>
              <w:szCs w:val="28"/>
              <w:highlight w:val="none"/>
            </w:rPr>
            <w:instrText xml:space="preserve"> HYPERLINK \l "bookmark7" </w:instrText>
          </w:r>
          <w:r>
            <w:rPr>
              <w:rFonts w:hint="default" w:ascii="方正楷体_GBK" w:hAnsi="方正楷体_GBK" w:eastAsia="方正楷体_GBK" w:cs="方正楷体_GBK"/>
              <w:color w:val="auto"/>
              <w:sz w:val="28"/>
              <w:szCs w:val="28"/>
              <w:highlight w:val="none"/>
            </w:rPr>
            <w:fldChar w:fldCharType="separate"/>
          </w:r>
          <w:r>
            <w:rPr>
              <w:rFonts w:hint="default" w:ascii="方正楷体_GBK" w:hAnsi="方正楷体_GBK" w:eastAsia="方正楷体_GBK" w:cs="方正楷体_GBK"/>
              <w:color w:val="auto"/>
              <w:sz w:val="28"/>
              <w:szCs w:val="28"/>
              <w:highlight w:val="none"/>
            </w:rPr>
            <w:t xml:space="preserve">二、收入决算表 </w:t>
          </w:r>
          <w:r>
            <w:rPr>
              <w:rFonts w:hint="default" w:ascii="方正楷体_GBK" w:hAnsi="方正楷体_GBK" w:eastAsia="方正楷体_GBK" w:cs="方正楷体_GBK"/>
              <w:color w:val="auto"/>
              <w:sz w:val="28"/>
              <w:szCs w:val="28"/>
              <w:highlight w:val="none"/>
            </w:rPr>
            <w:tab/>
          </w:r>
          <w:r>
            <w:rPr>
              <w:rFonts w:hint="default" w:ascii="方正楷体_GBK" w:hAnsi="方正楷体_GBK" w:eastAsia="方正楷体_GBK" w:cs="方正楷体_GBK"/>
              <w:color w:val="auto"/>
              <w:sz w:val="28"/>
              <w:szCs w:val="28"/>
              <w:highlight w:val="none"/>
            </w:rPr>
            <w:fldChar w:fldCharType="end"/>
          </w:r>
          <w:r>
            <w:rPr>
              <w:rFonts w:hint="eastAsia" w:ascii="方正楷体_GBK" w:hAnsi="方正楷体_GBK" w:eastAsia="方正楷体_GBK" w:cs="方正楷体_GBK"/>
              <w:color w:val="auto"/>
              <w:sz w:val="28"/>
              <w:szCs w:val="28"/>
              <w:highlight w:val="none"/>
              <w:lang w:val="en-US" w:eastAsia="zh-CN"/>
            </w:rPr>
            <w:t>6</w:t>
          </w:r>
        </w:p>
        <w:p>
          <w:pPr>
            <w:pStyle w:val="9"/>
            <w:keepNext w:val="0"/>
            <w:keepLines w:val="0"/>
            <w:pageBreakBefore w:val="0"/>
            <w:widowControl/>
            <w:tabs>
              <w:tab w:val="right" w:leader="dot" w:pos="8845"/>
            </w:tabs>
            <w:kinsoku/>
            <w:wordWrap/>
            <w:overflowPunct/>
            <w:topLinePunct w:val="0"/>
            <w:autoSpaceDE w:val="0"/>
            <w:autoSpaceDN w:val="0"/>
            <w:bidi w:val="0"/>
            <w:adjustRightInd w:val="0"/>
            <w:snapToGrid w:val="0"/>
            <w:spacing w:line="300" w:lineRule="atLeast"/>
            <w:textAlignment w:val="baseline"/>
            <w:rPr>
              <w:rFonts w:hint="default" w:ascii="方正楷体_GBK" w:hAnsi="方正楷体_GBK" w:eastAsia="方正楷体_GBK" w:cs="方正楷体_GBK"/>
              <w:color w:val="auto"/>
              <w:sz w:val="28"/>
              <w:szCs w:val="28"/>
              <w:highlight w:val="none"/>
              <w:lang w:val="en-US" w:eastAsia="zh-CN"/>
            </w:rPr>
          </w:pPr>
          <w:r>
            <w:rPr>
              <w:rFonts w:hint="default" w:ascii="方正楷体_GBK" w:hAnsi="方正楷体_GBK" w:eastAsia="方正楷体_GBK" w:cs="方正楷体_GBK"/>
              <w:color w:val="auto"/>
              <w:sz w:val="28"/>
              <w:szCs w:val="28"/>
              <w:highlight w:val="none"/>
            </w:rPr>
            <w:fldChar w:fldCharType="begin"/>
          </w:r>
          <w:r>
            <w:rPr>
              <w:rFonts w:hint="default" w:ascii="方正楷体_GBK" w:hAnsi="方正楷体_GBK" w:eastAsia="方正楷体_GBK" w:cs="方正楷体_GBK"/>
              <w:color w:val="auto"/>
              <w:sz w:val="28"/>
              <w:szCs w:val="28"/>
              <w:highlight w:val="none"/>
            </w:rPr>
            <w:instrText xml:space="preserve"> HYPERLINK \l "bookmark8" </w:instrText>
          </w:r>
          <w:r>
            <w:rPr>
              <w:rFonts w:hint="default" w:ascii="方正楷体_GBK" w:hAnsi="方正楷体_GBK" w:eastAsia="方正楷体_GBK" w:cs="方正楷体_GBK"/>
              <w:color w:val="auto"/>
              <w:sz w:val="28"/>
              <w:szCs w:val="28"/>
              <w:highlight w:val="none"/>
            </w:rPr>
            <w:fldChar w:fldCharType="separate"/>
          </w:r>
          <w:r>
            <w:rPr>
              <w:rFonts w:hint="default" w:ascii="方正楷体_GBK" w:hAnsi="方正楷体_GBK" w:eastAsia="方正楷体_GBK" w:cs="方正楷体_GBK"/>
              <w:color w:val="auto"/>
              <w:sz w:val="28"/>
              <w:szCs w:val="28"/>
              <w:highlight w:val="none"/>
            </w:rPr>
            <w:t xml:space="preserve">三、支出决算表 </w:t>
          </w:r>
          <w:r>
            <w:rPr>
              <w:rFonts w:hint="default" w:ascii="方正楷体_GBK" w:hAnsi="方正楷体_GBK" w:eastAsia="方正楷体_GBK" w:cs="方正楷体_GBK"/>
              <w:color w:val="auto"/>
              <w:sz w:val="28"/>
              <w:szCs w:val="28"/>
              <w:highlight w:val="none"/>
            </w:rPr>
            <w:tab/>
          </w:r>
          <w:r>
            <w:rPr>
              <w:rFonts w:hint="default" w:ascii="方正楷体_GBK" w:hAnsi="方正楷体_GBK" w:eastAsia="方正楷体_GBK" w:cs="方正楷体_GBK"/>
              <w:color w:val="auto"/>
              <w:sz w:val="28"/>
              <w:szCs w:val="28"/>
              <w:highlight w:val="none"/>
            </w:rPr>
            <w:fldChar w:fldCharType="end"/>
          </w:r>
          <w:r>
            <w:rPr>
              <w:rFonts w:hint="eastAsia" w:ascii="方正楷体_GBK" w:hAnsi="方正楷体_GBK" w:eastAsia="方正楷体_GBK" w:cs="方正楷体_GBK"/>
              <w:color w:val="auto"/>
              <w:sz w:val="28"/>
              <w:szCs w:val="28"/>
              <w:highlight w:val="none"/>
              <w:lang w:val="en-US" w:eastAsia="zh-CN"/>
            </w:rPr>
            <w:t>7</w:t>
          </w:r>
        </w:p>
        <w:p>
          <w:pPr>
            <w:pStyle w:val="9"/>
            <w:keepNext w:val="0"/>
            <w:keepLines w:val="0"/>
            <w:pageBreakBefore w:val="0"/>
            <w:widowControl/>
            <w:tabs>
              <w:tab w:val="right" w:leader="dot" w:pos="8845"/>
            </w:tabs>
            <w:kinsoku/>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color w:val="auto"/>
              <w:sz w:val="28"/>
              <w:szCs w:val="28"/>
              <w:highlight w:val="none"/>
              <w:lang w:val="en-US" w:eastAsia="zh-CN"/>
            </w:rPr>
          </w:pPr>
          <w:r>
            <w:rPr>
              <w:rFonts w:hint="default" w:ascii="方正楷体_GBK" w:hAnsi="方正楷体_GBK" w:eastAsia="方正楷体_GBK" w:cs="方正楷体_GBK"/>
              <w:color w:val="auto"/>
              <w:sz w:val="28"/>
              <w:szCs w:val="28"/>
              <w:highlight w:val="none"/>
            </w:rPr>
            <w:fldChar w:fldCharType="begin"/>
          </w:r>
          <w:r>
            <w:rPr>
              <w:rFonts w:hint="default" w:ascii="方正楷体_GBK" w:hAnsi="方正楷体_GBK" w:eastAsia="方正楷体_GBK" w:cs="方正楷体_GBK"/>
              <w:color w:val="auto"/>
              <w:sz w:val="28"/>
              <w:szCs w:val="28"/>
              <w:highlight w:val="none"/>
            </w:rPr>
            <w:instrText xml:space="preserve"> HYPERLINK \l "bookmark9" </w:instrText>
          </w:r>
          <w:r>
            <w:rPr>
              <w:rFonts w:hint="default" w:ascii="方正楷体_GBK" w:hAnsi="方正楷体_GBK" w:eastAsia="方正楷体_GBK" w:cs="方正楷体_GBK"/>
              <w:color w:val="auto"/>
              <w:sz w:val="28"/>
              <w:szCs w:val="28"/>
              <w:highlight w:val="none"/>
            </w:rPr>
            <w:fldChar w:fldCharType="separate"/>
          </w:r>
          <w:r>
            <w:rPr>
              <w:rFonts w:hint="default" w:ascii="方正楷体_GBK" w:hAnsi="方正楷体_GBK" w:eastAsia="方正楷体_GBK" w:cs="方正楷体_GBK"/>
              <w:color w:val="auto"/>
              <w:sz w:val="28"/>
              <w:szCs w:val="28"/>
              <w:highlight w:val="none"/>
            </w:rPr>
            <w:t xml:space="preserve">四、财政拨款收入支出决算总表 </w:t>
          </w:r>
          <w:r>
            <w:rPr>
              <w:rFonts w:hint="default" w:ascii="方正楷体_GBK" w:hAnsi="方正楷体_GBK" w:eastAsia="方正楷体_GBK" w:cs="方正楷体_GBK"/>
              <w:color w:val="auto"/>
              <w:sz w:val="28"/>
              <w:szCs w:val="28"/>
              <w:highlight w:val="none"/>
            </w:rPr>
            <w:tab/>
          </w:r>
          <w:r>
            <w:rPr>
              <w:rFonts w:hint="default" w:ascii="方正楷体_GBK" w:hAnsi="方正楷体_GBK" w:eastAsia="方正楷体_GBK" w:cs="方正楷体_GBK"/>
              <w:color w:val="auto"/>
              <w:sz w:val="28"/>
              <w:szCs w:val="28"/>
              <w:highlight w:val="none"/>
            </w:rPr>
            <w:fldChar w:fldCharType="end"/>
          </w:r>
          <w:r>
            <w:rPr>
              <w:rFonts w:hint="eastAsia" w:ascii="方正楷体_GBK" w:hAnsi="方正楷体_GBK" w:eastAsia="方正楷体_GBK" w:cs="方正楷体_GBK"/>
              <w:color w:val="auto"/>
              <w:sz w:val="28"/>
              <w:szCs w:val="28"/>
              <w:highlight w:val="none"/>
              <w:lang w:val="en-US" w:eastAsia="zh-CN"/>
            </w:rPr>
            <w:t>8</w:t>
          </w:r>
        </w:p>
        <w:p>
          <w:pPr>
            <w:pStyle w:val="9"/>
            <w:keepNext w:val="0"/>
            <w:keepLines w:val="0"/>
            <w:pageBreakBefore w:val="0"/>
            <w:widowControl/>
            <w:tabs>
              <w:tab w:val="right" w:leader="dot" w:pos="8845"/>
            </w:tabs>
            <w:kinsoku/>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color w:val="auto"/>
              <w:sz w:val="28"/>
              <w:szCs w:val="28"/>
              <w:highlight w:val="none"/>
              <w:lang w:val="en-US" w:eastAsia="zh-CN"/>
            </w:rPr>
          </w:pPr>
          <w:r>
            <w:rPr>
              <w:rFonts w:hint="default" w:ascii="方正楷体_GBK" w:hAnsi="方正楷体_GBK" w:eastAsia="方正楷体_GBK" w:cs="方正楷体_GBK"/>
              <w:color w:val="auto"/>
              <w:sz w:val="28"/>
              <w:szCs w:val="28"/>
              <w:highlight w:val="none"/>
            </w:rPr>
            <w:fldChar w:fldCharType="begin"/>
          </w:r>
          <w:r>
            <w:rPr>
              <w:rFonts w:hint="default" w:ascii="方正楷体_GBK" w:hAnsi="方正楷体_GBK" w:eastAsia="方正楷体_GBK" w:cs="方正楷体_GBK"/>
              <w:color w:val="auto"/>
              <w:sz w:val="28"/>
              <w:szCs w:val="28"/>
              <w:highlight w:val="none"/>
            </w:rPr>
            <w:instrText xml:space="preserve"> HYPERLINK \l "bookmark10" </w:instrText>
          </w:r>
          <w:r>
            <w:rPr>
              <w:rFonts w:hint="default" w:ascii="方正楷体_GBK" w:hAnsi="方正楷体_GBK" w:eastAsia="方正楷体_GBK" w:cs="方正楷体_GBK"/>
              <w:color w:val="auto"/>
              <w:sz w:val="28"/>
              <w:szCs w:val="28"/>
              <w:highlight w:val="none"/>
            </w:rPr>
            <w:fldChar w:fldCharType="separate"/>
          </w:r>
          <w:r>
            <w:rPr>
              <w:rFonts w:hint="default" w:ascii="方正楷体_GBK" w:hAnsi="方正楷体_GBK" w:eastAsia="方正楷体_GBK" w:cs="方正楷体_GBK"/>
              <w:color w:val="auto"/>
              <w:sz w:val="28"/>
              <w:szCs w:val="28"/>
              <w:highlight w:val="none"/>
            </w:rPr>
            <w:t xml:space="preserve">五、一般公共预算财政拨款支出决算表 </w:t>
          </w:r>
          <w:r>
            <w:rPr>
              <w:rFonts w:hint="default" w:ascii="方正楷体_GBK" w:hAnsi="方正楷体_GBK" w:eastAsia="方正楷体_GBK" w:cs="方正楷体_GBK"/>
              <w:color w:val="auto"/>
              <w:sz w:val="28"/>
              <w:szCs w:val="28"/>
              <w:highlight w:val="none"/>
            </w:rPr>
            <w:tab/>
          </w:r>
          <w:r>
            <w:rPr>
              <w:rFonts w:hint="eastAsia" w:ascii="方正楷体_GBK" w:hAnsi="方正楷体_GBK" w:eastAsia="方正楷体_GBK" w:cs="方正楷体_GBK"/>
              <w:color w:val="auto"/>
              <w:sz w:val="28"/>
              <w:szCs w:val="28"/>
              <w:highlight w:val="none"/>
              <w:lang w:val="en-US" w:eastAsia="zh-CN"/>
            </w:rPr>
            <w:t>9</w:t>
          </w:r>
          <w:r>
            <w:rPr>
              <w:rFonts w:hint="default" w:ascii="方正楷体_GBK" w:hAnsi="方正楷体_GBK" w:eastAsia="方正楷体_GBK" w:cs="方正楷体_GBK"/>
              <w:color w:val="auto"/>
              <w:sz w:val="28"/>
              <w:szCs w:val="28"/>
              <w:highlight w:val="none"/>
            </w:rPr>
            <w:fldChar w:fldCharType="end"/>
          </w:r>
        </w:p>
        <w:p>
          <w:pPr>
            <w:pStyle w:val="9"/>
            <w:keepNext w:val="0"/>
            <w:keepLines w:val="0"/>
            <w:pageBreakBefore w:val="0"/>
            <w:widowControl/>
            <w:tabs>
              <w:tab w:val="right" w:leader="dot" w:pos="8845"/>
            </w:tabs>
            <w:kinsoku/>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color w:val="auto"/>
              <w:sz w:val="28"/>
              <w:szCs w:val="28"/>
              <w:highlight w:val="none"/>
              <w:lang w:val="en-US" w:eastAsia="zh-CN"/>
            </w:rPr>
          </w:pPr>
          <w:r>
            <w:rPr>
              <w:rFonts w:hint="default" w:ascii="方正楷体_GBK" w:hAnsi="方正楷体_GBK" w:eastAsia="方正楷体_GBK" w:cs="方正楷体_GBK"/>
              <w:color w:val="auto"/>
              <w:sz w:val="28"/>
              <w:szCs w:val="28"/>
              <w:highlight w:val="none"/>
            </w:rPr>
            <w:fldChar w:fldCharType="begin"/>
          </w:r>
          <w:r>
            <w:rPr>
              <w:rFonts w:hint="default" w:ascii="方正楷体_GBK" w:hAnsi="方正楷体_GBK" w:eastAsia="方正楷体_GBK" w:cs="方正楷体_GBK"/>
              <w:color w:val="auto"/>
              <w:sz w:val="28"/>
              <w:szCs w:val="28"/>
              <w:highlight w:val="none"/>
            </w:rPr>
            <w:instrText xml:space="preserve"> HYPERLINK \l "bookmark11" </w:instrText>
          </w:r>
          <w:r>
            <w:rPr>
              <w:rFonts w:hint="default" w:ascii="方正楷体_GBK" w:hAnsi="方正楷体_GBK" w:eastAsia="方正楷体_GBK" w:cs="方正楷体_GBK"/>
              <w:color w:val="auto"/>
              <w:sz w:val="28"/>
              <w:szCs w:val="28"/>
              <w:highlight w:val="none"/>
            </w:rPr>
            <w:fldChar w:fldCharType="separate"/>
          </w:r>
          <w:r>
            <w:rPr>
              <w:rFonts w:hint="default" w:ascii="方正楷体_GBK" w:hAnsi="方正楷体_GBK" w:eastAsia="方正楷体_GBK" w:cs="方正楷体_GBK"/>
              <w:color w:val="auto"/>
              <w:sz w:val="28"/>
              <w:szCs w:val="28"/>
              <w:highlight w:val="none"/>
            </w:rPr>
            <w:t>六、一般公共预算财政拨款</w:t>
          </w:r>
          <w:bookmarkStart w:id="49" w:name="_GoBack"/>
          <w:bookmarkEnd w:id="49"/>
          <w:r>
            <w:rPr>
              <w:rFonts w:hint="default" w:ascii="方正楷体_GBK" w:hAnsi="方正楷体_GBK" w:eastAsia="方正楷体_GBK" w:cs="方正楷体_GBK"/>
              <w:color w:val="auto"/>
              <w:sz w:val="28"/>
              <w:szCs w:val="28"/>
              <w:highlight w:val="none"/>
            </w:rPr>
            <w:t xml:space="preserve">基本支出决算明细表  </w:t>
          </w:r>
          <w:r>
            <w:rPr>
              <w:rFonts w:hint="default" w:ascii="方正楷体_GBK" w:hAnsi="方正楷体_GBK" w:eastAsia="方正楷体_GBK" w:cs="方正楷体_GBK"/>
              <w:color w:val="auto"/>
              <w:sz w:val="28"/>
              <w:szCs w:val="28"/>
              <w:highlight w:val="none"/>
            </w:rPr>
            <w:tab/>
          </w:r>
          <w:r>
            <w:rPr>
              <w:rFonts w:hint="default" w:ascii="方正楷体_GBK" w:hAnsi="方正楷体_GBK" w:eastAsia="方正楷体_GBK" w:cs="方正楷体_GBK"/>
              <w:color w:val="auto"/>
              <w:sz w:val="28"/>
              <w:szCs w:val="28"/>
              <w:highlight w:val="none"/>
            </w:rPr>
            <w:t>1</w:t>
          </w:r>
          <w:r>
            <w:rPr>
              <w:rFonts w:hint="default" w:ascii="方正楷体_GBK" w:hAnsi="方正楷体_GBK" w:eastAsia="方正楷体_GBK" w:cs="方正楷体_GBK"/>
              <w:color w:val="auto"/>
              <w:sz w:val="28"/>
              <w:szCs w:val="28"/>
              <w:highlight w:val="none"/>
            </w:rPr>
            <w:fldChar w:fldCharType="end"/>
          </w:r>
          <w:r>
            <w:rPr>
              <w:rFonts w:hint="eastAsia" w:ascii="方正楷体_GBK" w:hAnsi="方正楷体_GBK" w:eastAsia="方正楷体_GBK" w:cs="方正楷体_GBK"/>
              <w:color w:val="auto"/>
              <w:sz w:val="28"/>
              <w:szCs w:val="28"/>
              <w:highlight w:val="none"/>
              <w:lang w:val="en-US" w:eastAsia="zh-CN"/>
            </w:rPr>
            <w:t>0</w:t>
          </w:r>
        </w:p>
        <w:p>
          <w:pPr>
            <w:pStyle w:val="9"/>
            <w:keepNext w:val="0"/>
            <w:keepLines w:val="0"/>
            <w:pageBreakBefore w:val="0"/>
            <w:widowControl/>
            <w:tabs>
              <w:tab w:val="right" w:leader="dot" w:pos="8845"/>
            </w:tabs>
            <w:kinsoku/>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color w:val="auto"/>
              <w:sz w:val="28"/>
              <w:szCs w:val="28"/>
              <w:highlight w:val="none"/>
              <w:lang w:val="en-US" w:eastAsia="zh-CN"/>
            </w:rPr>
          </w:pPr>
          <w:r>
            <w:rPr>
              <w:rFonts w:hint="default" w:ascii="方正楷体_GBK" w:hAnsi="方正楷体_GBK" w:eastAsia="方正楷体_GBK" w:cs="方正楷体_GBK"/>
              <w:color w:val="auto"/>
              <w:sz w:val="28"/>
              <w:szCs w:val="28"/>
              <w:highlight w:val="none"/>
            </w:rPr>
            <w:fldChar w:fldCharType="begin"/>
          </w:r>
          <w:r>
            <w:rPr>
              <w:rFonts w:hint="default" w:ascii="方正楷体_GBK" w:hAnsi="方正楷体_GBK" w:eastAsia="方正楷体_GBK" w:cs="方正楷体_GBK"/>
              <w:color w:val="auto"/>
              <w:sz w:val="28"/>
              <w:szCs w:val="28"/>
              <w:highlight w:val="none"/>
            </w:rPr>
            <w:instrText xml:space="preserve"> HYPERLINK \l "bookmark12" </w:instrText>
          </w:r>
          <w:r>
            <w:rPr>
              <w:rFonts w:hint="default" w:ascii="方正楷体_GBK" w:hAnsi="方正楷体_GBK" w:eastAsia="方正楷体_GBK" w:cs="方正楷体_GBK"/>
              <w:color w:val="auto"/>
              <w:sz w:val="28"/>
              <w:szCs w:val="28"/>
              <w:highlight w:val="none"/>
            </w:rPr>
            <w:fldChar w:fldCharType="separate"/>
          </w:r>
          <w:r>
            <w:rPr>
              <w:rFonts w:hint="default" w:ascii="方正楷体_GBK" w:hAnsi="方正楷体_GBK" w:eastAsia="方正楷体_GBK" w:cs="方正楷体_GBK"/>
              <w:color w:val="auto"/>
              <w:sz w:val="28"/>
              <w:szCs w:val="28"/>
              <w:highlight w:val="none"/>
            </w:rPr>
            <w:t xml:space="preserve">七、政府性基金预算财政拨款收入支出决算表 </w:t>
          </w:r>
          <w:r>
            <w:rPr>
              <w:rFonts w:hint="default" w:ascii="方正楷体_GBK" w:hAnsi="方正楷体_GBK" w:eastAsia="方正楷体_GBK" w:cs="方正楷体_GBK"/>
              <w:color w:val="auto"/>
              <w:sz w:val="28"/>
              <w:szCs w:val="28"/>
              <w:highlight w:val="none"/>
            </w:rPr>
            <w:tab/>
          </w:r>
          <w:r>
            <w:rPr>
              <w:rFonts w:hint="default" w:ascii="方正楷体_GBK" w:hAnsi="方正楷体_GBK" w:eastAsia="方正楷体_GBK" w:cs="方正楷体_GBK"/>
              <w:color w:val="auto"/>
              <w:sz w:val="28"/>
              <w:szCs w:val="28"/>
              <w:highlight w:val="none"/>
            </w:rPr>
            <w:t>1</w:t>
          </w:r>
          <w:r>
            <w:rPr>
              <w:rFonts w:hint="default" w:ascii="方正楷体_GBK" w:hAnsi="方正楷体_GBK" w:eastAsia="方正楷体_GBK" w:cs="方正楷体_GBK"/>
              <w:color w:val="auto"/>
              <w:sz w:val="28"/>
              <w:szCs w:val="28"/>
              <w:highlight w:val="none"/>
            </w:rPr>
            <w:fldChar w:fldCharType="end"/>
          </w:r>
          <w:r>
            <w:rPr>
              <w:rFonts w:hint="eastAsia" w:ascii="方正楷体_GBK" w:hAnsi="方正楷体_GBK" w:eastAsia="方正楷体_GBK" w:cs="方正楷体_GBK"/>
              <w:color w:val="auto"/>
              <w:sz w:val="28"/>
              <w:szCs w:val="28"/>
              <w:highlight w:val="none"/>
              <w:lang w:val="en-US" w:eastAsia="zh-CN"/>
            </w:rPr>
            <w:t>1</w:t>
          </w:r>
        </w:p>
        <w:p>
          <w:pPr>
            <w:pStyle w:val="9"/>
            <w:keepNext w:val="0"/>
            <w:keepLines w:val="0"/>
            <w:pageBreakBefore w:val="0"/>
            <w:widowControl/>
            <w:tabs>
              <w:tab w:val="right" w:leader="dot" w:pos="8845"/>
            </w:tabs>
            <w:kinsoku/>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color w:val="auto"/>
              <w:sz w:val="28"/>
              <w:szCs w:val="28"/>
              <w:highlight w:val="none"/>
              <w:lang w:val="en-US" w:eastAsia="zh-CN"/>
            </w:rPr>
          </w:pPr>
          <w:r>
            <w:rPr>
              <w:rFonts w:hint="default" w:ascii="方正楷体_GBK" w:hAnsi="方正楷体_GBK" w:eastAsia="方正楷体_GBK" w:cs="方正楷体_GBK"/>
              <w:color w:val="auto"/>
              <w:sz w:val="28"/>
              <w:szCs w:val="28"/>
              <w:highlight w:val="none"/>
            </w:rPr>
            <w:fldChar w:fldCharType="begin"/>
          </w:r>
          <w:r>
            <w:rPr>
              <w:rFonts w:hint="default" w:ascii="方正楷体_GBK" w:hAnsi="方正楷体_GBK" w:eastAsia="方正楷体_GBK" w:cs="方正楷体_GBK"/>
              <w:color w:val="auto"/>
              <w:sz w:val="28"/>
              <w:szCs w:val="28"/>
              <w:highlight w:val="none"/>
            </w:rPr>
            <w:instrText xml:space="preserve"> HYPERLINK \l "bookmark13" </w:instrText>
          </w:r>
          <w:r>
            <w:rPr>
              <w:rFonts w:hint="default" w:ascii="方正楷体_GBK" w:hAnsi="方正楷体_GBK" w:eastAsia="方正楷体_GBK" w:cs="方正楷体_GBK"/>
              <w:color w:val="auto"/>
              <w:sz w:val="28"/>
              <w:szCs w:val="28"/>
              <w:highlight w:val="none"/>
            </w:rPr>
            <w:fldChar w:fldCharType="separate"/>
          </w:r>
          <w:r>
            <w:rPr>
              <w:rFonts w:hint="default" w:ascii="方正楷体_GBK" w:hAnsi="方正楷体_GBK" w:eastAsia="方正楷体_GBK" w:cs="方正楷体_GBK"/>
              <w:color w:val="auto"/>
              <w:sz w:val="28"/>
              <w:szCs w:val="28"/>
              <w:highlight w:val="none"/>
            </w:rPr>
            <w:t xml:space="preserve">八、国有资本经营预算财政拨款支出决算表 </w:t>
          </w:r>
          <w:r>
            <w:rPr>
              <w:rFonts w:hint="default" w:ascii="方正楷体_GBK" w:hAnsi="方正楷体_GBK" w:eastAsia="方正楷体_GBK" w:cs="方正楷体_GBK"/>
              <w:color w:val="auto"/>
              <w:sz w:val="28"/>
              <w:szCs w:val="28"/>
              <w:highlight w:val="none"/>
            </w:rPr>
            <w:tab/>
          </w:r>
          <w:r>
            <w:rPr>
              <w:rFonts w:hint="default" w:ascii="方正楷体_GBK" w:hAnsi="方正楷体_GBK" w:eastAsia="方正楷体_GBK" w:cs="方正楷体_GBK"/>
              <w:color w:val="auto"/>
              <w:sz w:val="28"/>
              <w:szCs w:val="28"/>
              <w:highlight w:val="none"/>
            </w:rPr>
            <w:t>1</w:t>
          </w:r>
          <w:r>
            <w:rPr>
              <w:rFonts w:hint="default" w:ascii="方正楷体_GBK" w:hAnsi="方正楷体_GBK" w:eastAsia="方正楷体_GBK" w:cs="方正楷体_GBK"/>
              <w:color w:val="auto"/>
              <w:sz w:val="28"/>
              <w:szCs w:val="28"/>
              <w:highlight w:val="none"/>
            </w:rPr>
            <w:fldChar w:fldCharType="end"/>
          </w:r>
          <w:r>
            <w:rPr>
              <w:rFonts w:hint="eastAsia" w:ascii="方正楷体_GBK" w:hAnsi="方正楷体_GBK" w:eastAsia="方正楷体_GBK" w:cs="方正楷体_GBK"/>
              <w:color w:val="auto"/>
              <w:sz w:val="28"/>
              <w:szCs w:val="28"/>
              <w:highlight w:val="none"/>
              <w:lang w:val="en-US" w:eastAsia="zh-CN"/>
            </w:rPr>
            <w:t>2</w:t>
          </w:r>
        </w:p>
        <w:p>
          <w:pPr>
            <w:pStyle w:val="9"/>
            <w:keepNext w:val="0"/>
            <w:keepLines w:val="0"/>
            <w:pageBreakBefore w:val="0"/>
            <w:widowControl/>
            <w:tabs>
              <w:tab w:val="right" w:leader="dot" w:pos="8845"/>
            </w:tabs>
            <w:kinsoku/>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color w:val="auto"/>
              <w:sz w:val="28"/>
              <w:szCs w:val="28"/>
              <w:highlight w:val="none"/>
              <w:lang w:val="en-US" w:eastAsia="zh-CN"/>
            </w:rPr>
          </w:pPr>
          <w:r>
            <w:rPr>
              <w:rFonts w:hint="default" w:ascii="方正楷体_GBK" w:hAnsi="方正楷体_GBK" w:eastAsia="方正楷体_GBK" w:cs="方正楷体_GBK"/>
              <w:color w:val="auto"/>
              <w:sz w:val="28"/>
              <w:szCs w:val="28"/>
              <w:highlight w:val="none"/>
            </w:rPr>
            <w:fldChar w:fldCharType="begin"/>
          </w:r>
          <w:r>
            <w:rPr>
              <w:rFonts w:hint="default" w:ascii="方正楷体_GBK" w:hAnsi="方正楷体_GBK" w:eastAsia="方正楷体_GBK" w:cs="方正楷体_GBK"/>
              <w:color w:val="auto"/>
              <w:sz w:val="28"/>
              <w:szCs w:val="28"/>
              <w:highlight w:val="none"/>
            </w:rPr>
            <w:instrText xml:space="preserve"> HYPERLINK \l "bookmark14" </w:instrText>
          </w:r>
          <w:r>
            <w:rPr>
              <w:rFonts w:hint="default" w:ascii="方正楷体_GBK" w:hAnsi="方正楷体_GBK" w:eastAsia="方正楷体_GBK" w:cs="方正楷体_GBK"/>
              <w:color w:val="auto"/>
              <w:sz w:val="28"/>
              <w:szCs w:val="28"/>
              <w:highlight w:val="none"/>
            </w:rPr>
            <w:fldChar w:fldCharType="separate"/>
          </w:r>
          <w:r>
            <w:rPr>
              <w:rFonts w:hint="default" w:ascii="方正楷体_GBK" w:hAnsi="方正楷体_GBK" w:eastAsia="方正楷体_GBK" w:cs="方正楷体_GBK"/>
              <w:color w:val="auto"/>
              <w:sz w:val="28"/>
              <w:szCs w:val="28"/>
              <w:highlight w:val="none"/>
            </w:rPr>
            <w:t>九、财政拨款</w:t>
          </w:r>
          <w:r>
            <w:rPr>
              <w:rFonts w:hint="eastAsia" w:ascii="方正楷体_GBK" w:hAnsi="方正楷体_GBK" w:eastAsia="方正楷体_GBK" w:cs="方正楷体_GBK"/>
              <w:color w:val="auto"/>
              <w:sz w:val="28"/>
              <w:szCs w:val="28"/>
              <w:highlight w:val="none"/>
              <w:lang w:eastAsia="zh-CN"/>
            </w:rPr>
            <w:t>“</w:t>
          </w:r>
          <w:r>
            <w:rPr>
              <w:rFonts w:hint="default" w:ascii="方正楷体_GBK" w:hAnsi="方正楷体_GBK" w:eastAsia="方正楷体_GBK" w:cs="方正楷体_GBK"/>
              <w:color w:val="auto"/>
              <w:sz w:val="28"/>
              <w:szCs w:val="28"/>
              <w:highlight w:val="none"/>
            </w:rPr>
            <w:t xml:space="preserve">三公”经费支出决算表 </w:t>
          </w:r>
          <w:r>
            <w:rPr>
              <w:rFonts w:hint="default" w:ascii="方正楷体_GBK" w:hAnsi="方正楷体_GBK" w:eastAsia="方正楷体_GBK" w:cs="方正楷体_GBK"/>
              <w:color w:val="auto"/>
              <w:sz w:val="28"/>
              <w:szCs w:val="28"/>
              <w:highlight w:val="none"/>
            </w:rPr>
            <w:tab/>
          </w:r>
          <w:r>
            <w:rPr>
              <w:rFonts w:hint="default" w:ascii="方正楷体_GBK" w:hAnsi="方正楷体_GBK" w:eastAsia="方正楷体_GBK" w:cs="方正楷体_GBK"/>
              <w:color w:val="auto"/>
              <w:sz w:val="28"/>
              <w:szCs w:val="28"/>
              <w:highlight w:val="none"/>
            </w:rPr>
            <w:t>1</w:t>
          </w:r>
          <w:r>
            <w:rPr>
              <w:rFonts w:hint="default" w:ascii="方正楷体_GBK" w:hAnsi="方正楷体_GBK" w:eastAsia="方正楷体_GBK" w:cs="方正楷体_GBK"/>
              <w:color w:val="auto"/>
              <w:sz w:val="28"/>
              <w:szCs w:val="28"/>
              <w:highlight w:val="none"/>
            </w:rPr>
            <w:fldChar w:fldCharType="end"/>
          </w:r>
          <w:r>
            <w:rPr>
              <w:rFonts w:hint="eastAsia" w:ascii="方正楷体_GBK" w:hAnsi="方正楷体_GBK" w:eastAsia="方正楷体_GBK" w:cs="方正楷体_GBK"/>
              <w:color w:val="auto"/>
              <w:sz w:val="28"/>
              <w:szCs w:val="28"/>
              <w:highlight w:val="none"/>
              <w:lang w:val="en-US" w:eastAsia="zh-CN"/>
            </w:rPr>
            <w:t>3</w:t>
          </w:r>
        </w:p>
        <w:p>
          <w:pPr>
            <w:pStyle w:val="9"/>
            <w:keepNext w:val="0"/>
            <w:keepLines w:val="0"/>
            <w:pageBreakBefore w:val="0"/>
            <w:widowControl/>
            <w:tabs>
              <w:tab w:val="right" w:leader="dot" w:pos="8845"/>
            </w:tabs>
            <w:kinsoku/>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sz w:val="28"/>
              <w:szCs w:val="28"/>
              <w:lang w:val="en-US" w:eastAsia="zh-CN"/>
            </w:rPr>
          </w:pPr>
          <w:r>
            <w:rPr>
              <w:rFonts w:hint="eastAsia" w:ascii="方正黑体_GBK" w:hAnsi="方正黑体_GBK" w:eastAsia="方正黑体_GBK" w:cs="方正黑体_GBK"/>
              <w:color w:val="auto"/>
              <w:sz w:val="28"/>
              <w:szCs w:val="28"/>
              <w:highlight w:val="none"/>
            </w:rPr>
            <w:fldChar w:fldCharType="begin"/>
          </w:r>
          <w:r>
            <w:rPr>
              <w:rFonts w:hint="eastAsia" w:ascii="方正黑体_GBK" w:hAnsi="方正黑体_GBK" w:eastAsia="方正黑体_GBK" w:cs="方正黑体_GBK"/>
              <w:sz w:val="28"/>
              <w:szCs w:val="28"/>
              <w:highlight w:val="none"/>
            </w:rPr>
            <w:instrText xml:space="preserve"> HYPERLINK \l _Toc1307376636 </w:instrText>
          </w:r>
          <w:r>
            <w:rPr>
              <w:rFonts w:hint="eastAsia" w:ascii="方正黑体_GBK" w:hAnsi="方正黑体_GBK" w:eastAsia="方正黑体_GBK" w:cs="方正黑体_GBK"/>
              <w:sz w:val="28"/>
              <w:szCs w:val="28"/>
              <w:highlight w:val="none"/>
            </w:rPr>
            <w:fldChar w:fldCharType="separate"/>
          </w:r>
          <w:r>
            <w:rPr>
              <w:rFonts w:hint="eastAsia" w:ascii="方正黑体_GBK" w:hAnsi="方正黑体_GBK" w:eastAsia="方正黑体_GBK" w:cs="方正黑体_GBK"/>
              <w:spacing w:val="-5"/>
              <w:sz w:val="28"/>
              <w:szCs w:val="28"/>
              <w:highlight w:val="none"/>
            </w:rPr>
            <w:t>第三部分</w:t>
          </w:r>
          <w:r>
            <w:rPr>
              <w:rFonts w:hint="eastAsia" w:ascii="方正黑体_GBK" w:hAnsi="方正黑体_GBK" w:eastAsia="方正黑体_GBK" w:cs="方正黑体_GBK"/>
              <w:color w:val="auto"/>
              <w:sz w:val="28"/>
              <w:szCs w:val="28"/>
              <w:highlight w:val="none"/>
            </w:rPr>
            <w:fldChar w:fldCharType="end"/>
          </w:r>
          <w:r>
            <w:rPr>
              <w:rFonts w:hint="eastAsia" w:ascii="方正楷体_GBK" w:hAnsi="方正楷体_GBK" w:eastAsia="方正楷体_GBK" w:cs="方正楷体_GBK"/>
              <w:color w:val="auto"/>
              <w:sz w:val="28"/>
              <w:szCs w:val="28"/>
              <w:highlight w:val="none"/>
              <w:lang w:val="en-US" w:eastAsia="zh-CN"/>
            </w:rPr>
            <w:t xml:space="preserve">    </w:t>
          </w: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sz w:val="28"/>
              <w:szCs w:val="28"/>
              <w:highlight w:val="none"/>
            </w:rPr>
            <w:instrText xml:space="preserve"> HYPERLINK \l _Toc1054484946 </w:instrText>
          </w:r>
          <w:r>
            <w:rPr>
              <w:rFonts w:hint="eastAsia" w:ascii="方正楷体_GBK" w:hAnsi="方正楷体_GBK" w:eastAsia="方正楷体_GBK" w:cs="方正楷体_GBK"/>
              <w:sz w:val="28"/>
              <w:szCs w:val="28"/>
              <w:highlight w:val="none"/>
            </w:rPr>
            <w:fldChar w:fldCharType="separate"/>
          </w:r>
          <w:r>
            <w:rPr>
              <w:rFonts w:hint="eastAsia" w:ascii="方正黑体_GBK" w:hAnsi="方正黑体_GBK" w:eastAsia="方正黑体_GBK" w:cs="方正黑体_GBK"/>
              <w:spacing w:val="-1"/>
              <w:sz w:val="28"/>
              <w:szCs w:val="28"/>
              <w:highlight w:val="none"/>
            </w:rPr>
            <w:t>202</w:t>
          </w:r>
          <w:r>
            <w:rPr>
              <w:rFonts w:hint="eastAsia" w:ascii="方正黑体_GBK" w:hAnsi="方正黑体_GBK" w:eastAsia="方正黑体_GBK" w:cs="方正黑体_GBK"/>
              <w:spacing w:val="-1"/>
              <w:sz w:val="28"/>
              <w:szCs w:val="28"/>
              <w:highlight w:val="none"/>
              <w:lang w:val="en-US" w:eastAsia="zh-CN"/>
            </w:rPr>
            <w:t>5</w:t>
          </w:r>
          <w:r>
            <w:rPr>
              <w:rFonts w:hint="eastAsia" w:ascii="方正黑体_GBK" w:hAnsi="方正黑体_GBK" w:eastAsia="方正黑体_GBK" w:cs="方正黑体_GBK"/>
              <w:spacing w:val="-1"/>
              <w:sz w:val="28"/>
              <w:szCs w:val="28"/>
              <w:highlight w:val="none"/>
            </w:rPr>
            <w:t xml:space="preserve"> 年度决算情况说明</w:t>
          </w:r>
          <w:r>
            <w:rPr>
              <w:rFonts w:hint="eastAsia" w:ascii="方正楷体_GBK" w:hAnsi="方正楷体_GBK" w:eastAsia="方正楷体_GBK" w:cs="方正楷体_GBK"/>
              <w:sz w:val="28"/>
              <w:szCs w:val="28"/>
            </w:rPr>
            <w:tab/>
          </w:r>
          <w:r>
            <w:rPr>
              <w:rFonts w:hint="eastAsia" w:ascii="方正楷体_GBK" w:hAnsi="方正楷体_GBK" w:eastAsia="方正楷体_GBK" w:cs="方正楷体_GBK"/>
              <w:sz w:val="28"/>
              <w:szCs w:val="28"/>
            </w:rPr>
            <w:fldChar w:fldCharType="begin"/>
          </w:r>
          <w:r>
            <w:rPr>
              <w:rFonts w:hint="eastAsia" w:ascii="方正楷体_GBK" w:hAnsi="方正楷体_GBK" w:eastAsia="方正楷体_GBK" w:cs="方正楷体_GBK"/>
              <w:sz w:val="28"/>
              <w:szCs w:val="28"/>
            </w:rPr>
            <w:instrText xml:space="preserve"> PAGEREF _Toc1054484946 \h </w:instrText>
          </w:r>
          <w:r>
            <w:rPr>
              <w:rFonts w:hint="eastAsia" w:ascii="方正楷体_GBK" w:hAnsi="方正楷体_GBK" w:eastAsia="方正楷体_GBK" w:cs="方正楷体_GBK"/>
              <w:sz w:val="28"/>
              <w:szCs w:val="28"/>
            </w:rPr>
            <w:fldChar w:fldCharType="separate"/>
          </w:r>
          <w:r>
            <w:rPr>
              <w:rFonts w:hint="eastAsia" w:ascii="方正楷体_GBK" w:hAnsi="方正楷体_GBK" w:eastAsia="方正楷体_GBK" w:cs="方正楷体_GBK"/>
              <w:sz w:val="28"/>
              <w:szCs w:val="28"/>
            </w:rPr>
            <w:t>14</w:t>
          </w:r>
          <w:r>
            <w:rPr>
              <w:rFonts w:hint="eastAsia" w:ascii="方正楷体_GBK" w:hAnsi="方正楷体_GBK" w:eastAsia="方正楷体_GBK" w:cs="方正楷体_GBK"/>
              <w:sz w:val="28"/>
              <w:szCs w:val="28"/>
            </w:rPr>
            <w:fldChar w:fldCharType="end"/>
          </w:r>
          <w:r>
            <w:rPr>
              <w:rFonts w:hint="eastAsia" w:ascii="方正楷体_GBK" w:hAnsi="方正楷体_GBK" w:eastAsia="方正楷体_GBK" w:cs="方正楷体_GBK"/>
              <w:color w:val="auto"/>
              <w:sz w:val="28"/>
              <w:szCs w:val="28"/>
              <w:highlight w:val="none"/>
            </w:rPr>
            <w:fldChar w:fldCharType="end"/>
          </w:r>
        </w:p>
        <w:p>
          <w:pPr>
            <w:pStyle w:val="9"/>
            <w:keepNext w:val="0"/>
            <w:keepLines w:val="0"/>
            <w:pageBreakBefore w:val="0"/>
            <w:widowControl/>
            <w:tabs>
              <w:tab w:val="right" w:leader="dot" w:pos="8845"/>
            </w:tabs>
            <w:kinsoku/>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sz w:val="28"/>
              <w:szCs w:val="28"/>
              <w:lang w:val="en-US" w:eastAsia="zh-CN"/>
            </w:rPr>
          </w:pP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sz w:val="28"/>
              <w:szCs w:val="28"/>
              <w:highlight w:val="none"/>
            </w:rPr>
            <w:instrText xml:space="preserve"> HYPERLINK \l _Toc631281580 </w:instrText>
          </w:r>
          <w:r>
            <w:rPr>
              <w:rFonts w:hint="eastAsia" w:ascii="方正楷体_GBK" w:hAnsi="方正楷体_GBK" w:eastAsia="方正楷体_GBK" w:cs="方正楷体_GBK"/>
              <w:sz w:val="28"/>
              <w:szCs w:val="28"/>
              <w:highlight w:val="none"/>
            </w:rPr>
            <w:fldChar w:fldCharType="separate"/>
          </w:r>
          <w:r>
            <w:rPr>
              <w:rFonts w:hint="eastAsia" w:ascii="方正楷体_GBK" w:hAnsi="方正楷体_GBK" w:eastAsia="方正楷体_GBK" w:cs="方正楷体_GBK"/>
              <w:spacing w:val="7"/>
              <w:sz w:val="28"/>
              <w:szCs w:val="28"/>
              <w:highlight w:val="none"/>
            </w:rPr>
            <w:t>一、收入支出决算总体情况说明</w:t>
          </w:r>
          <w:r>
            <w:rPr>
              <w:rFonts w:hint="eastAsia" w:ascii="方正楷体_GBK" w:hAnsi="方正楷体_GBK" w:eastAsia="方正楷体_GBK" w:cs="方正楷体_GBK"/>
              <w:sz w:val="28"/>
              <w:szCs w:val="28"/>
            </w:rPr>
            <w:tab/>
          </w:r>
          <w:r>
            <w:rPr>
              <w:rFonts w:hint="eastAsia" w:ascii="方正楷体_GBK" w:hAnsi="方正楷体_GBK" w:eastAsia="方正楷体_GBK" w:cs="方正楷体_GBK"/>
              <w:sz w:val="28"/>
              <w:szCs w:val="28"/>
            </w:rPr>
            <w:fldChar w:fldCharType="begin"/>
          </w:r>
          <w:r>
            <w:rPr>
              <w:rFonts w:hint="eastAsia" w:ascii="方正楷体_GBK" w:hAnsi="方正楷体_GBK" w:eastAsia="方正楷体_GBK" w:cs="方正楷体_GBK"/>
              <w:sz w:val="28"/>
              <w:szCs w:val="28"/>
            </w:rPr>
            <w:instrText xml:space="preserve"> PAGEREF _Toc631281580 \h </w:instrText>
          </w:r>
          <w:r>
            <w:rPr>
              <w:rFonts w:hint="eastAsia" w:ascii="方正楷体_GBK" w:hAnsi="方正楷体_GBK" w:eastAsia="方正楷体_GBK" w:cs="方正楷体_GBK"/>
              <w:sz w:val="28"/>
              <w:szCs w:val="28"/>
            </w:rPr>
            <w:fldChar w:fldCharType="separate"/>
          </w:r>
          <w:r>
            <w:rPr>
              <w:rFonts w:hint="eastAsia" w:ascii="方正楷体_GBK" w:hAnsi="方正楷体_GBK" w:eastAsia="方正楷体_GBK" w:cs="方正楷体_GBK"/>
              <w:sz w:val="28"/>
              <w:szCs w:val="28"/>
            </w:rPr>
            <w:t>15</w:t>
          </w:r>
          <w:r>
            <w:rPr>
              <w:rFonts w:hint="eastAsia" w:ascii="方正楷体_GBK" w:hAnsi="方正楷体_GBK" w:eastAsia="方正楷体_GBK" w:cs="方正楷体_GBK"/>
              <w:sz w:val="28"/>
              <w:szCs w:val="28"/>
            </w:rPr>
            <w:fldChar w:fldCharType="end"/>
          </w:r>
          <w:r>
            <w:rPr>
              <w:rFonts w:hint="eastAsia" w:ascii="方正楷体_GBK" w:hAnsi="方正楷体_GBK" w:eastAsia="方正楷体_GBK" w:cs="方正楷体_GBK"/>
              <w:color w:val="auto"/>
              <w:sz w:val="28"/>
              <w:szCs w:val="28"/>
              <w:highlight w:val="none"/>
            </w:rPr>
            <w:fldChar w:fldCharType="end"/>
          </w:r>
        </w:p>
        <w:p>
          <w:pPr>
            <w:pStyle w:val="9"/>
            <w:keepNext w:val="0"/>
            <w:keepLines w:val="0"/>
            <w:pageBreakBefore w:val="0"/>
            <w:widowControl/>
            <w:tabs>
              <w:tab w:val="right" w:leader="dot" w:pos="8845"/>
            </w:tabs>
            <w:kinsoku/>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sz w:val="28"/>
              <w:szCs w:val="28"/>
              <w:lang w:val="en-US" w:eastAsia="zh-CN"/>
            </w:rPr>
          </w:pP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sz w:val="28"/>
              <w:szCs w:val="28"/>
              <w:highlight w:val="none"/>
            </w:rPr>
            <w:instrText xml:space="preserve"> HYPERLINK \l _Toc1943210716 </w:instrText>
          </w:r>
          <w:r>
            <w:rPr>
              <w:rFonts w:hint="eastAsia" w:ascii="方正楷体_GBK" w:hAnsi="方正楷体_GBK" w:eastAsia="方正楷体_GBK" w:cs="方正楷体_GBK"/>
              <w:sz w:val="28"/>
              <w:szCs w:val="28"/>
              <w:highlight w:val="none"/>
            </w:rPr>
            <w:fldChar w:fldCharType="separate"/>
          </w:r>
          <w:r>
            <w:rPr>
              <w:rFonts w:hint="eastAsia" w:ascii="方正楷体_GBK" w:hAnsi="方正楷体_GBK" w:eastAsia="方正楷体_GBK" w:cs="方正楷体_GBK"/>
              <w:spacing w:val="7"/>
              <w:sz w:val="28"/>
              <w:szCs w:val="28"/>
              <w:highlight w:val="none"/>
            </w:rPr>
            <w:t>二、收入决算情况说明</w:t>
          </w:r>
          <w:r>
            <w:rPr>
              <w:rFonts w:hint="eastAsia" w:ascii="方正楷体_GBK" w:hAnsi="方正楷体_GBK" w:eastAsia="方正楷体_GBK" w:cs="方正楷体_GBK"/>
              <w:sz w:val="28"/>
              <w:szCs w:val="28"/>
            </w:rPr>
            <w:tab/>
          </w:r>
          <w:r>
            <w:rPr>
              <w:rFonts w:hint="eastAsia" w:ascii="方正楷体_GBK" w:hAnsi="方正楷体_GBK" w:eastAsia="方正楷体_GBK" w:cs="方正楷体_GBK"/>
              <w:sz w:val="28"/>
              <w:szCs w:val="28"/>
            </w:rPr>
            <w:fldChar w:fldCharType="begin"/>
          </w:r>
          <w:r>
            <w:rPr>
              <w:rFonts w:hint="eastAsia" w:ascii="方正楷体_GBK" w:hAnsi="方正楷体_GBK" w:eastAsia="方正楷体_GBK" w:cs="方正楷体_GBK"/>
              <w:sz w:val="28"/>
              <w:szCs w:val="28"/>
            </w:rPr>
            <w:instrText xml:space="preserve"> PAGEREF _Toc1943210716 \h </w:instrText>
          </w:r>
          <w:r>
            <w:rPr>
              <w:rFonts w:hint="eastAsia" w:ascii="方正楷体_GBK" w:hAnsi="方正楷体_GBK" w:eastAsia="方正楷体_GBK" w:cs="方正楷体_GBK"/>
              <w:sz w:val="28"/>
              <w:szCs w:val="28"/>
            </w:rPr>
            <w:fldChar w:fldCharType="separate"/>
          </w:r>
          <w:r>
            <w:rPr>
              <w:rFonts w:hint="eastAsia" w:ascii="方正楷体_GBK" w:hAnsi="方正楷体_GBK" w:eastAsia="方正楷体_GBK" w:cs="方正楷体_GBK"/>
              <w:sz w:val="28"/>
              <w:szCs w:val="28"/>
            </w:rPr>
            <w:t>16</w:t>
          </w:r>
          <w:r>
            <w:rPr>
              <w:rFonts w:hint="eastAsia" w:ascii="方正楷体_GBK" w:hAnsi="方正楷体_GBK" w:eastAsia="方正楷体_GBK" w:cs="方正楷体_GBK"/>
              <w:sz w:val="28"/>
              <w:szCs w:val="28"/>
            </w:rPr>
            <w:fldChar w:fldCharType="end"/>
          </w:r>
          <w:r>
            <w:rPr>
              <w:rFonts w:hint="eastAsia" w:ascii="方正楷体_GBK" w:hAnsi="方正楷体_GBK" w:eastAsia="方正楷体_GBK" w:cs="方正楷体_GBK"/>
              <w:color w:val="auto"/>
              <w:sz w:val="28"/>
              <w:szCs w:val="28"/>
              <w:highlight w:val="none"/>
            </w:rPr>
            <w:fldChar w:fldCharType="end"/>
          </w:r>
        </w:p>
        <w:p>
          <w:pPr>
            <w:pStyle w:val="9"/>
            <w:keepNext w:val="0"/>
            <w:keepLines w:val="0"/>
            <w:pageBreakBefore w:val="0"/>
            <w:widowControl/>
            <w:tabs>
              <w:tab w:val="right" w:leader="dot" w:pos="8845"/>
            </w:tabs>
            <w:kinsoku/>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sz w:val="28"/>
              <w:szCs w:val="28"/>
            </w:rPr>
          </w:pP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sz w:val="28"/>
              <w:szCs w:val="28"/>
              <w:highlight w:val="none"/>
            </w:rPr>
            <w:instrText xml:space="preserve"> HYPERLINK \l _Toc293 </w:instrText>
          </w:r>
          <w:r>
            <w:rPr>
              <w:rFonts w:hint="eastAsia" w:ascii="方正楷体_GBK" w:hAnsi="方正楷体_GBK" w:eastAsia="方正楷体_GBK" w:cs="方正楷体_GBK"/>
              <w:sz w:val="28"/>
              <w:szCs w:val="28"/>
              <w:highlight w:val="none"/>
            </w:rPr>
            <w:fldChar w:fldCharType="separate"/>
          </w:r>
          <w:r>
            <w:rPr>
              <w:rFonts w:hint="eastAsia" w:ascii="方正楷体_GBK" w:hAnsi="方正楷体_GBK" w:eastAsia="方正楷体_GBK" w:cs="方正楷体_GBK"/>
              <w:spacing w:val="7"/>
              <w:sz w:val="28"/>
              <w:szCs w:val="28"/>
              <w:highlight w:val="none"/>
            </w:rPr>
            <w:t>三、支出决算情况说明</w:t>
          </w:r>
          <w:r>
            <w:rPr>
              <w:rFonts w:hint="eastAsia" w:ascii="方正楷体_GBK" w:hAnsi="方正楷体_GBK" w:eastAsia="方正楷体_GBK" w:cs="方正楷体_GBK"/>
              <w:sz w:val="28"/>
              <w:szCs w:val="28"/>
            </w:rPr>
            <w:tab/>
          </w:r>
          <w:r>
            <w:rPr>
              <w:rFonts w:hint="eastAsia" w:ascii="方正楷体_GBK" w:hAnsi="方正楷体_GBK" w:eastAsia="方正楷体_GBK" w:cs="方正楷体_GBK"/>
              <w:sz w:val="28"/>
              <w:szCs w:val="28"/>
            </w:rPr>
            <w:fldChar w:fldCharType="begin"/>
          </w:r>
          <w:r>
            <w:rPr>
              <w:rFonts w:hint="eastAsia" w:ascii="方正楷体_GBK" w:hAnsi="方正楷体_GBK" w:eastAsia="方正楷体_GBK" w:cs="方正楷体_GBK"/>
              <w:sz w:val="28"/>
              <w:szCs w:val="28"/>
            </w:rPr>
            <w:instrText xml:space="preserve"> PAGEREF _Toc293 \h </w:instrText>
          </w:r>
          <w:r>
            <w:rPr>
              <w:rFonts w:hint="eastAsia" w:ascii="方正楷体_GBK" w:hAnsi="方正楷体_GBK" w:eastAsia="方正楷体_GBK" w:cs="方正楷体_GBK"/>
              <w:sz w:val="28"/>
              <w:szCs w:val="28"/>
            </w:rPr>
            <w:fldChar w:fldCharType="separate"/>
          </w:r>
          <w:r>
            <w:rPr>
              <w:rFonts w:hint="eastAsia" w:ascii="方正楷体_GBK" w:hAnsi="方正楷体_GBK" w:eastAsia="方正楷体_GBK" w:cs="方正楷体_GBK"/>
              <w:sz w:val="28"/>
              <w:szCs w:val="28"/>
            </w:rPr>
            <w:t>16</w:t>
          </w:r>
          <w:r>
            <w:rPr>
              <w:rFonts w:hint="eastAsia" w:ascii="方正楷体_GBK" w:hAnsi="方正楷体_GBK" w:eastAsia="方正楷体_GBK" w:cs="方正楷体_GBK"/>
              <w:sz w:val="28"/>
              <w:szCs w:val="28"/>
            </w:rPr>
            <w:fldChar w:fldCharType="end"/>
          </w:r>
          <w:r>
            <w:rPr>
              <w:rFonts w:hint="eastAsia" w:ascii="方正楷体_GBK" w:hAnsi="方正楷体_GBK" w:eastAsia="方正楷体_GBK" w:cs="方正楷体_GBK"/>
              <w:color w:val="auto"/>
              <w:sz w:val="28"/>
              <w:szCs w:val="28"/>
              <w:highlight w:val="none"/>
            </w:rPr>
            <w:fldChar w:fldCharType="end"/>
          </w:r>
        </w:p>
        <w:p>
          <w:pPr>
            <w:pStyle w:val="9"/>
            <w:keepNext w:val="0"/>
            <w:keepLines w:val="0"/>
            <w:pageBreakBefore w:val="0"/>
            <w:widowControl/>
            <w:tabs>
              <w:tab w:val="right" w:leader="dot" w:pos="8845"/>
            </w:tabs>
            <w:kinsoku/>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sz w:val="28"/>
              <w:szCs w:val="28"/>
              <w:lang w:val="en-US" w:eastAsia="zh-CN"/>
            </w:rPr>
          </w:pP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sz w:val="28"/>
              <w:szCs w:val="28"/>
              <w:highlight w:val="none"/>
            </w:rPr>
            <w:instrText xml:space="preserve"> HYPERLINK \l _Toc990742335 </w:instrText>
          </w:r>
          <w:r>
            <w:rPr>
              <w:rFonts w:hint="eastAsia" w:ascii="方正楷体_GBK" w:hAnsi="方正楷体_GBK" w:eastAsia="方正楷体_GBK" w:cs="方正楷体_GBK"/>
              <w:sz w:val="28"/>
              <w:szCs w:val="28"/>
              <w:highlight w:val="none"/>
            </w:rPr>
            <w:fldChar w:fldCharType="separate"/>
          </w:r>
          <w:r>
            <w:rPr>
              <w:rFonts w:hint="eastAsia" w:ascii="方正楷体_GBK" w:hAnsi="方正楷体_GBK" w:eastAsia="方正楷体_GBK" w:cs="方正楷体_GBK"/>
              <w:spacing w:val="7"/>
              <w:sz w:val="28"/>
              <w:szCs w:val="28"/>
              <w:highlight w:val="none"/>
              <w:lang w:eastAsia="zh-CN"/>
            </w:rPr>
            <w:t>四、</w:t>
          </w:r>
          <w:r>
            <w:rPr>
              <w:rFonts w:hint="eastAsia" w:ascii="方正楷体_GBK" w:hAnsi="方正楷体_GBK" w:eastAsia="方正楷体_GBK" w:cs="方正楷体_GBK"/>
              <w:spacing w:val="7"/>
              <w:sz w:val="28"/>
              <w:szCs w:val="28"/>
              <w:highlight w:val="none"/>
            </w:rPr>
            <w:t>财政拨款收入支出决算总体情况说明</w:t>
          </w:r>
          <w:r>
            <w:rPr>
              <w:rFonts w:hint="eastAsia" w:ascii="方正楷体_GBK" w:hAnsi="方正楷体_GBK" w:eastAsia="方正楷体_GBK" w:cs="方正楷体_GBK"/>
              <w:sz w:val="28"/>
              <w:szCs w:val="28"/>
            </w:rPr>
            <w:tab/>
          </w:r>
          <w:r>
            <w:rPr>
              <w:rFonts w:hint="eastAsia" w:ascii="方正楷体_GBK" w:hAnsi="方正楷体_GBK" w:eastAsia="方正楷体_GBK" w:cs="方正楷体_GBK"/>
              <w:sz w:val="28"/>
              <w:szCs w:val="28"/>
            </w:rPr>
            <w:fldChar w:fldCharType="begin"/>
          </w:r>
          <w:r>
            <w:rPr>
              <w:rFonts w:hint="eastAsia" w:ascii="方正楷体_GBK" w:hAnsi="方正楷体_GBK" w:eastAsia="方正楷体_GBK" w:cs="方正楷体_GBK"/>
              <w:sz w:val="28"/>
              <w:szCs w:val="28"/>
            </w:rPr>
            <w:instrText xml:space="preserve"> PAGEREF _Toc990742335 \h </w:instrText>
          </w:r>
          <w:r>
            <w:rPr>
              <w:rFonts w:hint="eastAsia" w:ascii="方正楷体_GBK" w:hAnsi="方正楷体_GBK" w:eastAsia="方正楷体_GBK" w:cs="方正楷体_GBK"/>
              <w:sz w:val="28"/>
              <w:szCs w:val="28"/>
            </w:rPr>
            <w:fldChar w:fldCharType="separate"/>
          </w:r>
          <w:r>
            <w:rPr>
              <w:rFonts w:hint="eastAsia" w:ascii="方正楷体_GBK" w:hAnsi="方正楷体_GBK" w:eastAsia="方正楷体_GBK" w:cs="方正楷体_GBK"/>
              <w:sz w:val="28"/>
              <w:szCs w:val="28"/>
            </w:rPr>
            <w:t>17</w:t>
          </w:r>
          <w:r>
            <w:rPr>
              <w:rFonts w:hint="eastAsia" w:ascii="方正楷体_GBK" w:hAnsi="方正楷体_GBK" w:eastAsia="方正楷体_GBK" w:cs="方正楷体_GBK"/>
              <w:sz w:val="28"/>
              <w:szCs w:val="28"/>
            </w:rPr>
            <w:fldChar w:fldCharType="end"/>
          </w:r>
          <w:r>
            <w:rPr>
              <w:rFonts w:hint="eastAsia" w:ascii="方正楷体_GBK" w:hAnsi="方正楷体_GBK" w:eastAsia="方正楷体_GBK" w:cs="方正楷体_GBK"/>
              <w:color w:val="auto"/>
              <w:sz w:val="28"/>
              <w:szCs w:val="28"/>
              <w:highlight w:val="none"/>
            </w:rPr>
            <w:fldChar w:fldCharType="end"/>
          </w:r>
        </w:p>
        <w:p>
          <w:pPr>
            <w:pStyle w:val="9"/>
            <w:keepNext w:val="0"/>
            <w:keepLines w:val="0"/>
            <w:pageBreakBefore w:val="0"/>
            <w:widowControl/>
            <w:tabs>
              <w:tab w:val="right" w:leader="dot" w:pos="8845"/>
            </w:tabs>
            <w:kinsoku/>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sz w:val="28"/>
              <w:szCs w:val="28"/>
            </w:rPr>
          </w:pP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sz w:val="28"/>
              <w:szCs w:val="28"/>
              <w:highlight w:val="none"/>
            </w:rPr>
            <w:instrText xml:space="preserve"> HYPERLINK \l _Toc1175641081 </w:instrText>
          </w:r>
          <w:r>
            <w:rPr>
              <w:rFonts w:hint="eastAsia" w:ascii="方正楷体_GBK" w:hAnsi="方正楷体_GBK" w:eastAsia="方正楷体_GBK" w:cs="方正楷体_GBK"/>
              <w:sz w:val="28"/>
              <w:szCs w:val="28"/>
              <w:highlight w:val="none"/>
            </w:rPr>
            <w:fldChar w:fldCharType="separate"/>
          </w:r>
          <w:r>
            <w:rPr>
              <w:rFonts w:hint="eastAsia" w:ascii="方正楷体_GBK" w:hAnsi="方正楷体_GBK" w:eastAsia="方正楷体_GBK" w:cs="方正楷体_GBK"/>
              <w:spacing w:val="7"/>
              <w:sz w:val="28"/>
              <w:szCs w:val="28"/>
              <w:highlight w:val="none"/>
            </w:rPr>
            <w:t>五、</w:t>
          </w:r>
          <w:r>
            <w:rPr>
              <w:rFonts w:hint="eastAsia" w:ascii="方正楷体_GBK" w:hAnsi="方正楷体_GBK" w:eastAsia="方正楷体_GBK" w:cs="方正楷体_GBK"/>
              <w:spacing w:val="-46"/>
              <w:sz w:val="28"/>
              <w:szCs w:val="28"/>
              <w:highlight w:val="none"/>
            </w:rPr>
            <w:t xml:space="preserve"> </w:t>
          </w:r>
          <w:r>
            <w:rPr>
              <w:rFonts w:hint="eastAsia" w:ascii="方正楷体_GBK" w:hAnsi="方正楷体_GBK" w:eastAsia="方正楷体_GBK" w:cs="方正楷体_GBK"/>
              <w:spacing w:val="7"/>
              <w:sz w:val="28"/>
              <w:szCs w:val="28"/>
              <w:highlight w:val="none"/>
            </w:rPr>
            <w:t>一般公共预算财政拨款支出决算情况说明</w:t>
          </w:r>
          <w:r>
            <w:rPr>
              <w:rFonts w:hint="eastAsia" w:ascii="方正楷体_GBK" w:hAnsi="方正楷体_GBK" w:eastAsia="方正楷体_GBK" w:cs="方正楷体_GBK"/>
              <w:sz w:val="28"/>
              <w:szCs w:val="28"/>
            </w:rPr>
            <w:tab/>
          </w:r>
          <w:r>
            <w:rPr>
              <w:rFonts w:hint="eastAsia" w:ascii="方正楷体_GBK" w:hAnsi="方正楷体_GBK" w:eastAsia="方正楷体_GBK" w:cs="方正楷体_GBK"/>
              <w:sz w:val="28"/>
              <w:szCs w:val="28"/>
            </w:rPr>
            <w:fldChar w:fldCharType="begin"/>
          </w:r>
          <w:r>
            <w:rPr>
              <w:rFonts w:hint="eastAsia" w:ascii="方正楷体_GBK" w:hAnsi="方正楷体_GBK" w:eastAsia="方正楷体_GBK" w:cs="方正楷体_GBK"/>
              <w:sz w:val="28"/>
              <w:szCs w:val="28"/>
            </w:rPr>
            <w:instrText xml:space="preserve"> PAGEREF _Toc1175641081 \h </w:instrText>
          </w:r>
          <w:r>
            <w:rPr>
              <w:rFonts w:hint="eastAsia" w:ascii="方正楷体_GBK" w:hAnsi="方正楷体_GBK" w:eastAsia="方正楷体_GBK" w:cs="方正楷体_GBK"/>
              <w:sz w:val="28"/>
              <w:szCs w:val="28"/>
            </w:rPr>
            <w:fldChar w:fldCharType="separate"/>
          </w:r>
          <w:r>
            <w:rPr>
              <w:rFonts w:hint="eastAsia" w:ascii="方正楷体_GBK" w:hAnsi="方正楷体_GBK" w:eastAsia="方正楷体_GBK" w:cs="方正楷体_GBK"/>
              <w:sz w:val="28"/>
              <w:szCs w:val="28"/>
            </w:rPr>
            <w:t>17</w:t>
          </w:r>
          <w:r>
            <w:rPr>
              <w:rFonts w:hint="eastAsia" w:ascii="方正楷体_GBK" w:hAnsi="方正楷体_GBK" w:eastAsia="方正楷体_GBK" w:cs="方正楷体_GBK"/>
              <w:sz w:val="28"/>
              <w:szCs w:val="28"/>
            </w:rPr>
            <w:fldChar w:fldCharType="end"/>
          </w:r>
          <w:r>
            <w:rPr>
              <w:rFonts w:hint="eastAsia" w:ascii="方正楷体_GBK" w:hAnsi="方正楷体_GBK" w:eastAsia="方正楷体_GBK" w:cs="方正楷体_GBK"/>
              <w:color w:val="auto"/>
              <w:sz w:val="28"/>
              <w:szCs w:val="28"/>
              <w:highlight w:val="none"/>
            </w:rPr>
            <w:fldChar w:fldCharType="end"/>
          </w:r>
        </w:p>
        <w:p>
          <w:pPr>
            <w:pStyle w:val="9"/>
            <w:keepNext w:val="0"/>
            <w:keepLines w:val="0"/>
            <w:pageBreakBefore w:val="0"/>
            <w:widowControl/>
            <w:tabs>
              <w:tab w:val="right" w:leader="dot" w:pos="8845"/>
            </w:tabs>
            <w:kinsoku/>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sz w:val="28"/>
              <w:szCs w:val="28"/>
            </w:rPr>
          </w:pP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sz w:val="28"/>
              <w:szCs w:val="28"/>
              <w:highlight w:val="none"/>
            </w:rPr>
            <w:instrText xml:space="preserve"> HYPERLINK \l _Toc1951277322 </w:instrText>
          </w:r>
          <w:r>
            <w:rPr>
              <w:rFonts w:hint="eastAsia" w:ascii="方正楷体_GBK" w:hAnsi="方正楷体_GBK" w:eastAsia="方正楷体_GBK" w:cs="方正楷体_GBK"/>
              <w:sz w:val="28"/>
              <w:szCs w:val="28"/>
              <w:highlight w:val="none"/>
            </w:rPr>
            <w:fldChar w:fldCharType="separate"/>
          </w:r>
          <w:r>
            <w:rPr>
              <w:rFonts w:hint="eastAsia" w:ascii="方正楷体_GBK" w:hAnsi="方正楷体_GBK" w:eastAsia="方正楷体_GBK" w:cs="方正楷体_GBK"/>
              <w:spacing w:val="7"/>
              <w:sz w:val="28"/>
              <w:szCs w:val="28"/>
              <w:highlight w:val="none"/>
            </w:rPr>
            <w:t>六、</w:t>
          </w:r>
          <w:r>
            <w:rPr>
              <w:rFonts w:hint="eastAsia" w:ascii="方正楷体_GBK" w:hAnsi="方正楷体_GBK" w:eastAsia="方正楷体_GBK" w:cs="方正楷体_GBK"/>
              <w:spacing w:val="-45"/>
              <w:sz w:val="28"/>
              <w:szCs w:val="28"/>
              <w:highlight w:val="none"/>
            </w:rPr>
            <w:t xml:space="preserve"> </w:t>
          </w:r>
          <w:r>
            <w:rPr>
              <w:rFonts w:hint="eastAsia" w:ascii="方正楷体_GBK" w:hAnsi="方正楷体_GBK" w:eastAsia="方正楷体_GBK" w:cs="方正楷体_GBK"/>
              <w:spacing w:val="7"/>
              <w:sz w:val="28"/>
              <w:szCs w:val="28"/>
              <w:highlight w:val="none"/>
            </w:rPr>
            <w:t>一般公共预算财政拨款基本支出决算情况说明</w:t>
          </w:r>
          <w:r>
            <w:rPr>
              <w:rFonts w:hint="eastAsia" w:ascii="方正楷体_GBK" w:hAnsi="方正楷体_GBK" w:eastAsia="方正楷体_GBK" w:cs="方正楷体_GBK"/>
              <w:sz w:val="28"/>
              <w:szCs w:val="28"/>
            </w:rPr>
            <w:tab/>
          </w:r>
          <w:r>
            <w:rPr>
              <w:rFonts w:hint="eastAsia" w:ascii="方正楷体_GBK" w:hAnsi="方正楷体_GBK" w:eastAsia="方正楷体_GBK" w:cs="方正楷体_GBK"/>
              <w:sz w:val="28"/>
              <w:szCs w:val="28"/>
            </w:rPr>
            <w:fldChar w:fldCharType="begin"/>
          </w:r>
          <w:r>
            <w:rPr>
              <w:rFonts w:hint="eastAsia" w:ascii="方正楷体_GBK" w:hAnsi="方正楷体_GBK" w:eastAsia="方正楷体_GBK" w:cs="方正楷体_GBK"/>
              <w:sz w:val="28"/>
              <w:szCs w:val="28"/>
            </w:rPr>
            <w:instrText xml:space="preserve"> PAGEREF _Toc1951277322 \h </w:instrText>
          </w:r>
          <w:r>
            <w:rPr>
              <w:rFonts w:hint="eastAsia" w:ascii="方正楷体_GBK" w:hAnsi="方正楷体_GBK" w:eastAsia="方正楷体_GBK" w:cs="方正楷体_GBK"/>
              <w:sz w:val="28"/>
              <w:szCs w:val="28"/>
            </w:rPr>
            <w:fldChar w:fldCharType="separate"/>
          </w:r>
          <w:r>
            <w:rPr>
              <w:rFonts w:hint="eastAsia" w:ascii="方正楷体_GBK" w:hAnsi="方正楷体_GBK" w:eastAsia="方正楷体_GBK" w:cs="方正楷体_GBK"/>
              <w:sz w:val="28"/>
              <w:szCs w:val="28"/>
            </w:rPr>
            <w:t>20</w:t>
          </w:r>
          <w:r>
            <w:rPr>
              <w:rFonts w:hint="eastAsia" w:ascii="方正楷体_GBK" w:hAnsi="方正楷体_GBK" w:eastAsia="方正楷体_GBK" w:cs="方正楷体_GBK"/>
              <w:sz w:val="28"/>
              <w:szCs w:val="28"/>
            </w:rPr>
            <w:fldChar w:fldCharType="end"/>
          </w:r>
          <w:r>
            <w:rPr>
              <w:rFonts w:hint="eastAsia" w:ascii="方正楷体_GBK" w:hAnsi="方正楷体_GBK" w:eastAsia="方正楷体_GBK" w:cs="方正楷体_GBK"/>
              <w:color w:val="auto"/>
              <w:sz w:val="28"/>
              <w:szCs w:val="28"/>
              <w:highlight w:val="none"/>
            </w:rPr>
            <w:fldChar w:fldCharType="end"/>
          </w:r>
        </w:p>
        <w:p>
          <w:pPr>
            <w:pStyle w:val="9"/>
            <w:keepNext w:val="0"/>
            <w:keepLines w:val="0"/>
            <w:pageBreakBefore w:val="0"/>
            <w:widowControl/>
            <w:tabs>
              <w:tab w:val="right" w:leader="dot" w:pos="8845"/>
            </w:tabs>
            <w:kinsoku/>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sz w:val="28"/>
              <w:szCs w:val="28"/>
            </w:rPr>
          </w:pP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sz w:val="28"/>
              <w:szCs w:val="28"/>
              <w:highlight w:val="none"/>
            </w:rPr>
            <w:instrText xml:space="preserve"> HYPERLINK \l _Toc660977863 </w:instrText>
          </w:r>
          <w:r>
            <w:rPr>
              <w:rFonts w:hint="eastAsia" w:ascii="方正楷体_GBK" w:hAnsi="方正楷体_GBK" w:eastAsia="方正楷体_GBK" w:cs="方正楷体_GBK"/>
              <w:sz w:val="28"/>
              <w:szCs w:val="28"/>
              <w:highlight w:val="none"/>
            </w:rPr>
            <w:fldChar w:fldCharType="separate"/>
          </w:r>
          <w:r>
            <w:rPr>
              <w:rFonts w:hint="eastAsia" w:ascii="方正楷体_GBK" w:hAnsi="方正楷体_GBK" w:eastAsia="方正楷体_GBK" w:cs="方正楷体_GBK"/>
              <w:spacing w:val="7"/>
              <w:sz w:val="28"/>
              <w:szCs w:val="28"/>
              <w:highlight w:val="none"/>
            </w:rPr>
            <w:t>七、财政拨款</w:t>
          </w:r>
          <w:r>
            <w:rPr>
              <w:rFonts w:hint="eastAsia" w:ascii="方正楷体_GBK" w:hAnsi="方正楷体_GBK" w:eastAsia="方正楷体_GBK" w:cs="方正楷体_GBK"/>
              <w:spacing w:val="-42"/>
              <w:sz w:val="28"/>
              <w:szCs w:val="28"/>
              <w:highlight w:val="none"/>
              <w:lang w:eastAsia="zh-CN"/>
            </w:rPr>
            <w:t>“三公”经费</w:t>
          </w:r>
          <w:r>
            <w:rPr>
              <w:rFonts w:hint="eastAsia" w:ascii="方正楷体_GBK" w:hAnsi="方正楷体_GBK" w:eastAsia="方正楷体_GBK" w:cs="方正楷体_GBK"/>
              <w:spacing w:val="7"/>
              <w:sz w:val="28"/>
              <w:szCs w:val="28"/>
              <w:highlight w:val="none"/>
            </w:rPr>
            <w:t>支出决算情况说明</w:t>
          </w:r>
          <w:r>
            <w:rPr>
              <w:rFonts w:hint="eastAsia" w:ascii="方正楷体_GBK" w:hAnsi="方正楷体_GBK" w:eastAsia="方正楷体_GBK" w:cs="方正楷体_GBK"/>
              <w:sz w:val="28"/>
              <w:szCs w:val="28"/>
            </w:rPr>
            <w:tab/>
          </w:r>
          <w:r>
            <w:rPr>
              <w:rFonts w:hint="eastAsia" w:ascii="方正楷体_GBK" w:hAnsi="方正楷体_GBK" w:eastAsia="方正楷体_GBK" w:cs="方正楷体_GBK"/>
              <w:sz w:val="28"/>
              <w:szCs w:val="28"/>
            </w:rPr>
            <w:fldChar w:fldCharType="begin"/>
          </w:r>
          <w:r>
            <w:rPr>
              <w:rFonts w:hint="eastAsia" w:ascii="方正楷体_GBK" w:hAnsi="方正楷体_GBK" w:eastAsia="方正楷体_GBK" w:cs="方正楷体_GBK"/>
              <w:sz w:val="28"/>
              <w:szCs w:val="28"/>
            </w:rPr>
            <w:instrText xml:space="preserve"> PAGEREF _Toc660977863 \h </w:instrText>
          </w:r>
          <w:r>
            <w:rPr>
              <w:rFonts w:hint="eastAsia" w:ascii="方正楷体_GBK" w:hAnsi="方正楷体_GBK" w:eastAsia="方正楷体_GBK" w:cs="方正楷体_GBK"/>
              <w:sz w:val="28"/>
              <w:szCs w:val="28"/>
            </w:rPr>
            <w:fldChar w:fldCharType="separate"/>
          </w:r>
          <w:r>
            <w:rPr>
              <w:rFonts w:hint="eastAsia" w:ascii="方正楷体_GBK" w:hAnsi="方正楷体_GBK" w:eastAsia="方正楷体_GBK" w:cs="方正楷体_GBK"/>
              <w:sz w:val="28"/>
              <w:szCs w:val="28"/>
            </w:rPr>
            <w:t>20</w:t>
          </w:r>
          <w:r>
            <w:rPr>
              <w:rFonts w:hint="eastAsia" w:ascii="方正楷体_GBK" w:hAnsi="方正楷体_GBK" w:eastAsia="方正楷体_GBK" w:cs="方正楷体_GBK"/>
              <w:sz w:val="28"/>
              <w:szCs w:val="28"/>
            </w:rPr>
            <w:fldChar w:fldCharType="end"/>
          </w:r>
          <w:r>
            <w:rPr>
              <w:rFonts w:hint="eastAsia" w:ascii="方正楷体_GBK" w:hAnsi="方正楷体_GBK" w:eastAsia="方正楷体_GBK" w:cs="方正楷体_GBK"/>
              <w:color w:val="auto"/>
              <w:sz w:val="28"/>
              <w:szCs w:val="28"/>
              <w:highlight w:val="none"/>
            </w:rPr>
            <w:fldChar w:fldCharType="end"/>
          </w:r>
        </w:p>
        <w:p>
          <w:pPr>
            <w:pStyle w:val="9"/>
            <w:keepNext w:val="0"/>
            <w:keepLines w:val="0"/>
            <w:pageBreakBefore w:val="0"/>
            <w:widowControl/>
            <w:tabs>
              <w:tab w:val="right" w:leader="dot" w:pos="8845"/>
            </w:tabs>
            <w:kinsoku/>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sz w:val="28"/>
              <w:szCs w:val="28"/>
            </w:rPr>
          </w:pP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sz w:val="28"/>
              <w:szCs w:val="28"/>
              <w:highlight w:val="none"/>
            </w:rPr>
            <w:instrText xml:space="preserve"> HYPERLINK \l _Toc286975877 </w:instrText>
          </w:r>
          <w:r>
            <w:rPr>
              <w:rFonts w:hint="eastAsia" w:ascii="方正楷体_GBK" w:hAnsi="方正楷体_GBK" w:eastAsia="方正楷体_GBK" w:cs="方正楷体_GBK"/>
              <w:sz w:val="28"/>
              <w:szCs w:val="28"/>
              <w:highlight w:val="none"/>
            </w:rPr>
            <w:fldChar w:fldCharType="separate"/>
          </w:r>
          <w:r>
            <w:rPr>
              <w:rFonts w:hint="eastAsia" w:ascii="方正楷体_GBK" w:hAnsi="方正楷体_GBK" w:eastAsia="方正楷体_GBK" w:cs="方正楷体_GBK"/>
              <w:spacing w:val="9"/>
              <w:sz w:val="28"/>
              <w:szCs w:val="28"/>
              <w:highlight w:val="none"/>
            </w:rPr>
            <w:t>八、机关运行经费支出情况说明</w:t>
          </w:r>
          <w:r>
            <w:rPr>
              <w:rFonts w:hint="eastAsia" w:ascii="方正楷体_GBK" w:hAnsi="方正楷体_GBK" w:eastAsia="方正楷体_GBK" w:cs="方正楷体_GBK"/>
              <w:sz w:val="28"/>
              <w:szCs w:val="28"/>
            </w:rPr>
            <w:tab/>
          </w:r>
          <w:r>
            <w:rPr>
              <w:rFonts w:hint="eastAsia" w:ascii="方正楷体_GBK" w:hAnsi="方正楷体_GBK" w:eastAsia="方正楷体_GBK" w:cs="方正楷体_GBK"/>
              <w:sz w:val="28"/>
              <w:szCs w:val="28"/>
            </w:rPr>
            <w:fldChar w:fldCharType="begin"/>
          </w:r>
          <w:r>
            <w:rPr>
              <w:rFonts w:hint="eastAsia" w:ascii="方正楷体_GBK" w:hAnsi="方正楷体_GBK" w:eastAsia="方正楷体_GBK" w:cs="方正楷体_GBK"/>
              <w:sz w:val="28"/>
              <w:szCs w:val="28"/>
            </w:rPr>
            <w:instrText xml:space="preserve"> PAGEREF _Toc286975877 \h </w:instrText>
          </w:r>
          <w:r>
            <w:rPr>
              <w:rFonts w:hint="eastAsia" w:ascii="方正楷体_GBK" w:hAnsi="方正楷体_GBK" w:eastAsia="方正楷体_GBK" w:cs="方正楷体_GBK"/>
              <w:sz w:val="28"/>
              <w:szCs w:val="28"/>
            </w:rPr>
            <w:fldChar w:fldCharType="separate"/>
          </w:r>
          <w:r>
            <w:rPr>
              <w:rFonts w:hint="eastAsia" w:ascii="方正楷体_GBK" w:hAnsi="方正楷体_GBK" w:eastAsia="方正楷体_GBK" w:cs="方正楷体_GBK"/>
              <w:sz w:val="28"/>
              <w:szCs w:val="28"/>
            </w:rPr>
            <w:t>21</w:t>
          </w:r>
          <w:r>
            <w:rPr>
              <w:rFonts w:hint="eastAsia" w:ascii="方正楷体_GBK" w:hAnsi="方正楷体_GBK" w:eastAsia="方正楷体_GBK" w:cs="方正楷体_GBK"/>
              <w:sz w:val="28"/>
              <w:szCs w:val="28"/>
            </w:rPr>
            <w:fldChar w:fldCharType="end"/>
          </w:r>
          <w:r>
            <w:rPr>
              <w:rFonts w:hint="eastAsia" w:ascii="方正楷体_GBK" w:hAnsi="方正楷体_GBK" w:eastAsia="方正楷体_GBK" w:cs="方正楷体_GBK"/>
              <w:color w:val="auto"/>
              <w:sz w:val="28"/>
              <w:szCs w:val="28"/>
              <w:highlight w:val="none"/>
            </w:rPr>
            <w:fldChar w:fldCharType="end"/>
          </w:r>
        </w:p>
        <w:p>
          <w:pPr>
            <w:pStyle w:val="9"/>
            <w:keepNext w:val="0"/>
            <w:keepLines w:val="0"/>
            <w:pageBreakBefore w:val="0"/>
            <w:widowControl/>
            <w:tabs>
              <w:tab w:val="right" w:leader="dot" w:pos="8845"/>
            </w:tabs>
            <w:kinsoku/>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sz w:val="28"/>
              <w:szCs w:val="28"/>
            </w:rPr>
          </w:pP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sz w:val="28"/>
              <w:szCs w:val="28"/>
              <w:highlight w:val="none"/>
            </w:rPr>
            <w:instrText xml:space="preserve"> HYPERLINK \l _Toc13169103 </w:instrText>
          </w:r>
          <w:r>
            <w:rPr>
              <w:rFonts w:hint="eastAsia" w:ascii="方正楷体_GBK" w:hAnsi="方正楷体_GBK" w:eastAsia="方正楷体_GBK" w:cs="方正楷体_GBK"/>
              <w:sz w:val="28"/>
              <w:szCs w:val="28"/>
              <w:highlight w:val="none"/>
            </w:rPr>
            <w:fldChar w:fldCharType="separate"/>
          </w:r>
          <w:r>
            <w:rPr>
              <w:rFonts w:hint="eastAsia" w:ascii="方正楷体_GBK" w:hAnsi="方正楷体_GBK" w:eastAsia="方正楷体_GBK" w:cs="方正楷体_GBK"/>
              <w:spacing w:val="9"/>
              <w:sz w:val="28"/>
              <w:szCs w:val="28"/>
              <w:highlight w:val="none"/>
              <w:lang w:eastAsia="zh-CN"/>
            </w:rPr>
            <w:t>九、</w:t>
          </w:r>
          <w:r>
            <w:rPr>
              <w:rFonts w:hint="eastAsia" w:ascii="方正楷体_GBK" w:hAnsi="方正楷体_GBK" w:eastAsia="方正楷体_GBK" w:cs="方正楷体_GBK"/>
              <w:spacing w:val="9"/>
              <w:sz w:val="28"/>
              <w:szCs w:val="28"/>
              <w:highlight w:val="none"/>
            </w:rPr>
            <w:t>政府采购支出情况说明</w:t>
          </w:r>
          <w:r>
            <w:rPr>
              <w:rFonts w:hint="eastAsia" w:ascii="方正楷体_GBK" w:hAnsi="方正楷体_GBK" w:eastAsia="方正楷体_GBK" w:cs="方正楷体_GBK"/>
              <w:sz w:val="28"/>
              <w:szCs w:val="28"/>
            </w:rPr>
            <w:tab/>
          </w:r>
          <w:r>
            <w:rPr>
              <w:rFonts w:hint="eastAsia" w:ascii="方正楷体_GBK" w:hAnsi="方正楷体_GBK" w:eastAsia="方正楷体_GBK" w:cs="方正楷体_GBK"/>
              <w:sz w:val="28"/>
              <w:szCs w:val="28"/>
            </w:rPr>
            <w:fldChar w:fldCharType="begin"/>
          </w:r>
          <w:r>
            <w:rPr>
              <w:rFonts w:hint="eastAsia" w:ascii="方正楷体_GBK" w:hAnsi="方正楷体_GBK" w:eastAsia="方正楷体_GBK" w:cs="方正楷体_GBK"/>
              <w:sz w:val="28"/>
              <w:szCs w:val="28"/>
            </w:rPr>
            <w:instrText xml:space="preserve"> PAGEREF _Toc13169103 \h </w:instrText>
          </w:r>
          <w:r>
            <w:rPr>
              <w:rFonts w:hint="eastAsia" w:ascii="方正楷体_GBK" w:hAnsi="方正楷体_GBK" w:eastAsia="方正楷体_GBK" w:cs="方正楷体_GBK"/>
              <w:sz w:val="28"/>
              <w:szCs w:val="28"/>
            </w:rPr>
            <w:fldChar w:fldCharType="separate"/>
          </w:r>
          <w:r>
            <w:rPr>
              <w:rFonts w:hint="eastAsia" w:ascii="方正楷体_GBK" w:hAnsi="方正楷体_GBK" w:eastAsia="方正楷体_GBK" w:cs="方正楷体_GBK"/>
              <w:sz w:val="28"/>
              <w:szCs w:val="28"/>
            </w:rPr>
            <w:t>21</w:t>
          </w:r>
          <w:r>
            <w:rPr>
              <w:rFonts w:hint="eastAsia" w:ascii="方正楷体_GBK" w:hAnsi="方正楷体_GBK" w:eastAsia="方正楷体_GBK" w:cs="方正楷体_GBK"/>
              <w:sz w:val="28"/>
              <w:szCs w:val="28"/>
            </w:rPr>
            <w:fldChar w:fldCharType="end"/>
          </w:r>
          <w:r>
            <w:rPr>
              <w:rFonts w:hint="eastAsia" w:ascii="方正楷体_GBK" w:hAnsi="方正楷体_GBK" w:eastAsia="方正楷体_GBK" w:cs="方正楷体_GBK"/>
              <w:color w:val="auto"/>
              <w:sz w:val="28"/>
              <w:szCs w:val="28"/>
              <w:highlight w:val="none"/>
            </w:rPr>
            <w:fldChar w:fldCharType="end"/>
          </w:r>
        </w:p>
        <w:p>
          <w:pPr>
            <w:pStyle w:val="9"/>
            <w:keepNext w:val="0"/>
            <w:keepLines w:val="0"/>
            <w:pageBreakBefore w:val="0"/>
            <w:widowControl/>
            <w:tabs>
              <w:tab w:val="right" w:leader="dot" w:pos="8845"/>
            </w:tabs>
            <w:kinsoku/>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sz w:val="28"/>
              <w:szCs w:val="28"/>
            </w:rPr>
          </w:pP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sz w:val="28"/>
              <w:szCs w:val="28"/>
              <w:highlight w:val="none"/>
            </w:rPr>
            <w:instrText xml:space="preserve"> HYPERLINK \l _Toc1738618549 </w:instrText>
          </w:r>
          <w:r>
            <w:rPr>
              <w:rFonts w:hint="eastAsia" w:ascii="方正楷体_GBK" w:hAnsi="方正楷体_GBK" w:eastAsia="方正楷体_GBK" w:cs="方正楷体_GBK"/>
              <w:sz w:val="28"/>
              <w:szCs w:val="28"/>
              <w:highlight w:val="none"/>
            </w:rPr>
            <w:fldChar w:fldCharType="separate"/>
          </w:r>
          <w:r>
            <w:rPr>
              <w:rFonts w:hint="eastAsia" w:ascii="方正楷体_GBK" w:hAnsi="方正楷体_GBK" w:eastAsia="方正楷体_GBK" w:cs="方正楷体_GBK"/>
              <w:spacing w:val="9"/>
              <w:sz w:val="28"/>
              <w:szCs w:val="28"/>
              <w:highlight w:val="none"/>
              <w:lang w:eastAsia="zh-CN"/>
            </w:rPr>
            <w:t>十、国有资产占用情况说明</w:t>
          </w:r>
          <w:r>
            <w:rPr>
              <w:rFonts w:hint="eastAsia" w:ascii="方正楷体_GBK" w:hAnsi="方正楷体_GBK" w:eastAsia="方正楷体_GBK" w:cs="方正楷体_GBK"/>
              <w:sz w:val="28"/>
              <w:szCs w:val="28"/>
            </w:rPr>
            <w:tab/>
          </w:r>
          <w:r>
            <w:rPr>
              <w:rFonts w:hint="eastAsia" w:ascii="方正楷体_GBK" w:hAnsi="方正楷体_GBK" w:eastAsia="方正楷体_GBK" w:cs="方正楷体_GBK"/>
              <w:sz w:val="28"/>
              <w:szCs w:val="28"/>
            </w:rPr>
            <w:fldChar w:fldCharType="begin"/>
          </w:r>
          <w:r>
            <w:rPr>
              <w:rFonts w:hint="eastAsia" w:ascii="方正楷体_GBK" w:hAnsi="方正楷体_GBK" w:eastAsia="方正楷体_GBK" w:cs="方正楷体_GBK"/>
              <w:sz w:val="28"/>
              <w:szCs w:val="28"/>
            </w:rPr>
            <w:instrText xml:space="preserve"> PAGEREF _Toc1738618549 \h </w:instrText>
          </w:r>
          <w:r>
            <w:rPr>
              <w:rFonts w:hint="eastAsia" w:ascii="方正楷体_GBK" w:hAnsi="方正楷体_GBK" w:eastAsia="方正楷体_GBK" w:cs="方正楷体_GBK"/>
              <w:sz w:val="28"/>
              <w:szCs w:val="28"/>
            </w:rPr>
            <w:fldChar w:fldCharType="separate"/>
          </w:r>
          <w:r>
            <w:rPr>
              <w:rFonts w:hint="eastAsia" w:ascii="方正楷体_GBK" w:hAnsi="方正楷体_GBK" w:eastAsia="方正楷体_GBK" w:cs="方正楷体_GBK"/>
              <w:sz w:val="28"/>
              <w:szCs w:val="28"/>
            </w:rPr>
            <w:t>22</w:t>
          </w:r>
          <w:r>
            <w:rPr>
              <w:rFonts w:hint="eastAsia" w:ascii="方正楷体_GBK" w:hAnsi="方正楷体_GBK" w:eastAsia="方正楷体_GBK" w:cs="方正楷体_GBK"/>
              <w:sz w:val="28"/>
              <w:szCs w:val="28"/>
            </w:rPr>
            <w:fldChar w:fldCharType="end"/>
          </w:r>
          <w:r>
            <w:rPr>
              <w:rFonts w:hint="eastAsia" w:ascii="方正楷体_GBK" w:hAnsi="方正楷体_GBK" w:eastAsia="方正楷体_GBK" w:cs="方正楷体_GBK"/>
              <w:color w:val="auto"/>
              <w:sz w:val="28"/>
              <w:szCs w:val="28"/>
              <w:highlight w:val="none"/>
            </w:rPr>
            <w:fldChar w:fldCharType="end"/>
          </w:r>
        </w:p>
        <w:p>
          <w:pPr>
            <w:pStyle w:val="9"/>
            <w:keepNext w:val="0"/>
            <w:keepLines w:val="0"/>
            <w:pageBreakBefore w:val="0"/>
            <w:widowControl/>
            <w:tabs>
              <w:tab w:val="right" w:leader="dot" w:pos="8845"/>
            </w:tabs>
            <w:kinsoku/>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sz w:val="28"/>
              <w:szCs w:val="28"/>
            </w:rPr>
          </w:pP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sz w:val="28"/>
              <w:szCs w:val="28"/>
              <w:highlight w:val="none"/>
            </w:rPr>
            <w:instrText xml:space="preserve"> HYPERLINK \l _Toc642847263 </w:instrText>
          </w:r>
          <w:r>
            <w:rPr>
              <w:rFonts w:hint="eastAsia" w:ascii="方正楷体_GBK" w:hAnsi="方正楷体_GBK" w:eastAsia="方正楷体_GBK" w:cs="方正楷体_GBK"/>
              <w:sz w:val="28"/>
              <w:szCs w:val="28"/>
              <w:highlight w:val="none"/>
            </w:rPr>
            <w:fldChar w:fldCharType="separate"/>
          </w:r>
          <w:r>
            <w:rPr>
              <w:rFonts w:hint="eastAsia" w:ascii="方正楷体_GBK" w:hAnsi="方正楷体_GBK" w:eastAsia="方正楷体_GBK" w:cs="方正楷体_GBK"/>
              <w:spacing w:val="9"/>
              <w:sz w:val="28"/>
              <w:szCs w:val="28"/>
              <w:highlight w:val="none"/>
              <w:lang w:eastAsia="zh-CN"/>
            </w:rPr>
            <w:t>十一、关于202</w:t>
          </w:r>
          <w:r>
            <w:rPr>
              <w:rFonts w:hint="eastAsia" w:ascii="方正楷体_GBK" w:hAnsi="方正楷体_GBK" w:eastAsia="方正楷体_GBK" w:cs="方正楷体_GBK"/>
              <w:spacing w:val="9"/>
              <w:sz w:val="28"/>
              <w:szCs w:val="28"/>
              <w:highlight w:val="none"/>
              <w:lang w:val="en-US" w:eastAsia="zh-CN"/>
            </w:rPr>
            <w:t>5</w:t>
          </w:r>
          <w:r>
            <w:rPr>
              <w:rFonts w:hint="eastAsia" w:ascii="方正楷体_GBK" w:hAnsi="方正楷体_GBK" w:eastAsia="方正楷体_GBK" w:cs="方正楷体_GBK"/>
              <w:spacing w:val="9"/>
              <w:sz w:val="28"/>
              <w:szCs w:val="28"/>
              <w:highlight w:val="none"/>
              <w:lang w:eastAsia="zh-CN"/>
            </w:rPr>
            <w:t>年度绩效评价情况的说明</w:t>
          </w:r>
          <w:r>
            <w:rPr>
              <w:rFonts w:hint="eastAsia" w:ascii="方正楷体_GBK" w:hAnsi="方正楷体_GBK" w:eastAsia="方正楷体_GBK" w:cs="方正楷体_GBK"/>
              <w:sz w:val="28"/>
              <w:szCs w:val="28"/>
            </w:rPr>
            <w:tab/>
          </w:r>
          <w:r>
            <w:rPr>
              <w:rFonts w:hint="eastAsia" w:ascii="方正楷体_GBK" w:hAnsi="方正楷体_GBK" w:eastAsia="方正楷体_GBK" w:cs="方正楷体_GBK"/>
              <w:sz w:val="28"/>
              <w:szCs w:val="28"/>
            </w:rPr>
            <w:fldChar w:fldCharType="begin"/>
          </w:r>
          <w:r>
            <w:rPr>
              <w:rFonts w:hint="eastAsia" w:ascii="方正楷体_GBK" w:hAnsi="方正楷体_GBK" w:eastAsia="方正楷体_GBK" w:cs="方正楷体_GBK"/>
              <w:sz w:val="28"/>
              <w:szCs w:val="28"/>
            </w:rPr>
            <w:instrText xml:space="preserve"> PAGEREF _Toc642847263 \h </w:instrText>
          </w:r>
          <w:r>
            <w:rPr>
              <w:rFonts w:hint="eastAsia" w:ascii="方正楷体_GBK" w:hAnsi="方正楷体_GBK" w:eastAsia="方正楷体_GBK" w:cs="方正楷体_GBK"/>
              <w:sz w:val="28"/>
              <w:szCs w:val="28"/>
            </w:rPr>
            <w:fldChar w:fldCharType="separate"/>
          </w:r>
          <w:r>
            <w:rPr>
              <w:rFonts w:hint="eastAsia" w:ascii="方正楷体_GBK" w:hAnsi="方正楷体_GBK" w:eastAsia="方正楷体_GBK" w:cs="方正楷体_GBK"/>
              <w:sz w:val="28"/>
              <w:szCs w:val="28"/>
            </w:rPr>
            <w:t>22</w:t>
          </w:r>
          <w:r>
            <w:rPr>
              <w:rFonts w:hint="eastAsia" w:ascii="方正楷体_GBK" w:hAnsi="方正楷体_GBK" w:eastAsia="方正楷体_GBK" w:cs="方正楷体_GBK"/>
              <w:sz w:val="28"/>
              <w:szCs w:val="28"/>
            </w:rPr>
            <w:fldChar w:fldCharType="end"/>
          </w:r>
          <w:r>
            <w:rPr>
              <w:rFonts w:hint="eastAsia" w:ascii="方正楷体_GBK" w:hAnsi="方正楷体_GBK" w:eastAsia="方正楷体_GBK" w:cs="方正楷体_GBK"/>
              <w:color w:val="auto"/>
              <w:sz w:val="28"/>
              <w:szCs w:val="28"/>
              <w:highlight w:val="none"/>
            </w:rPr>
            <w:fldChar w:fldCharType="end"/>
          </w:r>
        </w:p>
        <w:p>
          <w:pPr>
            <w:pStyle w:val="9"/>
            <w:keepNext w:val="0"/>
            <w:keepLines w:val="0"/>
            <w:pageBreakBefore w:val="0"/>
            <w:widowControl/>
            <w:tabs>
              <w:tab w:val="right" w:leader="dot" w:pos="8845"/>
            </w:tabs>
            <w:kinsoku/>
            <w:wordWrap/>
            <w:overflowPunct/>
            <w:topLinePunct w:val="0"/>
            <w:autoSpaceDE w:val="0"/>
            <w:autoSpaceDN w:val="0"/>
            <w:bidi w:val="0"/>
            <w:adjustRightInd w:val="0"/>
            <w:snapToGrid w:val="0"/>
            <w:spacing w:line="300" w:lineRule="atLeast"/>
            <w:textAlignment w:val="baseline"/>
            <w:rPr>
              <w:rFonts w:hint="eastAsia" w:ascii="方正楷体_GBK" w:hAnsi="方正楷体_GBK" w:eastAsia="方正楷体_GBK" w:cs="方正楷体_GBK"/>
              <w:sz w:val="28"/>
              <w:szCs w:val="28"/>
            </w:rPr>
          </w:pP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sz w:val="28"/>
              <w:szCs w:val="28"/>
              <w:highlight w:val="none"/>
            </w:rPr>
            <w:instrText xml:space="preserve"> HYPERLINK \l _Toc71824088 </w:instrText>
          </w:r>
          <w:r>
            <w:rPr>
              <w:rFonts w:hint="eastAsia" w:ascii="方正楷体_GBK" w:hAnsi="方正楷体_GBK" w:eastAsia="方正楷体_GBK" w:cs="方正楷体_GBK"/>
              <w:sz w:val="28"/>
              <w:szCs w:val="28"/>
              <w:highlight w:val="none"/>
            </w:rPr>
            <w:fldChar w:fldCharType="separate"/>
          </w:r>
          <w:r>
            <w:rPr>
              <w:rFonts w:hint="eastAsia" w:ascii="方正黑体_GBK" w:hAnsi="方正黑体_GBK" w:eastAsia="方正黑体_GBK" w:cs="方正黑体_GBK"/>
              <w:spacing w:val="-5"/>
              <w:sz w:val="28"/>
              <w:szCs w:val="28"/>
              <w:highlight w:val="none"/>
            </w:rPr>
            <w:t>第四部分</w:t>
          </w:r>
          <w:r>
            <w:rPr>
              <w:rFonts w:hint="eastAsia" w:ascii="方正楷体_GBK" w:hAnsi="方正楷体_GBK" w:eastAsia="方正楷体_GBK" w:cs="方正楷体_GBK"/>
              <w:spacing w:val="-5"/>
              <w:sz w:val="28"/>
              <w:szCs w:val="28"/>
              <w:highlight w:val="none"/>
              <w:lang w:val="en-US" w:eastAsia="zh-CN"/>
            </w:rPr>
            <w:t xml:space="preserve">    </w:t>
          </w:r>
          <w:r>
            <w:rPr>
              <w:rFonts w:hint="eastAsia" w:ascii="方正楷体_GBK" w:hAnsi="方正楷体_GBK" w:eastAsia="方正楷体_GBK" w:cs="方正楷体_GBK"/>
              <w:color w:val="auto"/>
              <w:sz w:val="28"/>
              <w:szCs w:val="28"/>
              <w:highlight w:val="none"/>
            </w:rPr>
            <w:fldChar w:fldCharType="end"/>
          </w: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sz w:val="28"/>
              <w:szCs w:val="28"/>
              <w:highlight w:val="none"/>
            </w:rPr>
            <w:instrText xml:space="preserve"> HYPERLINK \l _Toc1511929582 </w:instrText>
          </w:r>
          <w:r>
            <w:rPr>
              <w:rFonts w:hint="eastAsia" w:ascii="方正楷体_GBK" w:hAnsi="方正楷体_GBK" w:eastAsia="方正楷体_GBK" w:cs="方正楷体_GBK"/>
              <w:sz w:val="28"/>
              <w:szCs w:val="28"/>
              <w:highlight w:val="none"/>
            </w:rPr>
            <w:fldChar w:fldCharType="separate"/>
          </w:r>
          <w:r>
            <w:rPr>
              <w:rFonts w:hint="eastAsia" w:ascii="方正黑体_GBK" w:hAnsi="方正黑体_GBK" w:eastAsia="方正黑体_GBK" w:cs="方正黑体_GBK"/>
              <w:spacing w:val="-6"/>
              <w:sz w:val="28"/>
              <w:szCs w:val="28"/>
              <w:highlight w:val="none"/>
            </w:rPr>
            <w:t>名词解释</w:t>
          </w:r>
          <w:r>
            <w:rPr>
              <w:rFonts w:hint="eastAsia" w:ascii="方正楷体_GBK" w:hAnsi="方正楷体_GBK" w:eastAsia="方正楷体_GBK" w:cs="方正楷体_GBK"/>
              <w:sz w:val="28"/>
              <w:szCs w:val="28"/>
            </w:rPr>
            <w:tab/>
          </w:r>
          <w:r>
            <w:rPr>
              <w:rFonts w:hint="eastAsia" w:ascii="方正楷体_GBK" w:hAnsi="方正楷体_GBK" w:eastAsia="方正楷体_GBK" w:cs="方正楷体_GBK"/>
              <w:sz w:val="28"/>
              <w:szCs w:val="28"/>
            </w:rPr>
            <w:fldChar w:fldCharType="begin"/>
          </w:r>
          <w:r>
            <w:rPr>
              <w:rFonts w:hint="eastAsia" w:ascii="方正楷体_GBK" w:hAnsi="方正楷体_GBK" w:eastAsia="方正楷体_GBK" w:cs="方正楷体_GBK"/>
              <w:sz w:val="28"/>
              <w:szCs w:val="28"/>
            </w:rPr>
            <w:instrText xml:space="preserve"> PAGEREF _Toc1511929582 \h </w:instrText>
          </w:r>
          <w:r>
            <w:rPr>
              <w:rFonts w:hint="eastAsia" w:ascii="方正楷体_GBK" w:hAnsi="方正楷体_GBK" w:eastAsia="方正楷体_GBK" w:cs="方正楷体_GBK"/>
              <w:sz w:val="28"/>
              <w:szCs w:val="28"/>
            </w:rPr>
            <w:fldChar w:fldCharType="separate"/>
          </w:r>
          <w:r>
            <w:rPr>
              <w:rFonts w:hint="eastAsia" w:ascii="方正楷体_GBK" w:hAnsi="方正楷体_GBK" w:eastAsia="方正楷体_GBK" w:cs="方正楷体_GBK"/>
              <w:sz w:val="28"/>
              <w:szCs w:val="28"/>
            </w:rPr>
            <w:t>26</w:t>
          </w:r>
          <w:r>
            <w:rPr>
              <w:rFonts w:hint="eastAsia" w:ascii="方正楷体_GBK" w:hAnsi="方正楷体_GBK" w:eastAsia="方正楷体_GBK" w:cs="方正楷体_GBK"/>
              <w:sz w:val="28"/>
              <w:szCs w:val="28"/>
            </w:rPr>
            <w:fldChar w:fldCharType="end"/>
          </w:r>
          <w:r>
            <w:rPr>
              <w:rFonts w:hint="eastAsia" w:ascii="方正楷体_GBK" w:hAnsi="方正楷体_GBK" w:eastAsia="方正楷体_GBK" w:cs="方正楷体_GBK"/>
              <w:color w:val="auto"/>
              <w:sz w:val="28"/>
              <w:szCs w:val="28"/>
              <w:highlight w:val="none"/>
            </w:rPr>
            <w:fldChar w:fldCharType="end"/>
          </w:r>
        </w:p>
        <w:p>
          <w:pPr>
            <w:keepNext w:val="0"/>
            <w:keepLines w:val="0"/>
            <w:pageBreakBefore w:val="0"/>
            <w:widowControl/>
            <w:kinsoku/>
            <w:wordWrap/>
            <w:topLinePunct w:val="0"/>
            <w:bidi w:val="0"/>
            <w:spacing w:line="232" w:lineRule="auto"/>
            <w:rPr>
              <w:rFonts w:hint="default" w:ascii="Times New Roman" w:hAnsi="Times New Roman" w:eastAsia="方正楷体_GBK" w:cs="Times New Roman"/>
              <w:color w:val="auto"/>
              <w:sz w:val="31"/>
              <w:szCs w:val="31"/>
              <w:highlight w:val="none"/>
            </w:rPr>
            <w:sectPr>
              <w:footerReference r:id="rId5" w:type="default"/>
              <w:pgSz w:w="11907" w:h="16839"/>
              <w:pgMar w:top="2098" w:right="1531" w:bottom="1531" w:left="1531" w:header="0" w:footer="1067" w:gutter="0"/>
              <w:pgBorders>
                <w:top w:val="none" w:sz="0" w:space="0"/>
                <w:left w:val="none" w:sz="0" w:space="0"/>
                <w:bottom w:val="none" w:sz="0" w:space="0"/>
                <w:right w:val="none" w:sz="0" w:space="0"/>
              </w:pgBorders>
              <w:pgNumType w:fmt="decimal" w:start="1"/>
              <w:cols w:space="720" w:num="1"/>
            </w:sectPr>
          </w:pPr>
          <w:r>
            <w:rPr>
              <w:rFonts w:hint="eastAsia" w:ascii="方正楷体_GBK" w:hAnsi="方正楷体_GBK" w:eastAsia="方正楷体_GBK" w:cs="方正楷体_GBK"/>
              <w:color w:val="auto"/>
              <w:sz w:val="28"/>
              <w:szCs w:val="28"/>
              <w:highlight w:val="none"/>
            </w:rPr>
            <w:fldChar w:fldCharType="end"/>
          </w:r>
        </w:p>
      </w:sdtContent>
    </w:sdt>
    <w:p>
      <w:pPr>
        <w:pStyle w:val="5"/>
        <w:keepNext w:val="0"/>
        <w:keepLines w:val="0"/>
        <w:pageBreakBefore w:val="0"/>
        <w:widowControl/>
        <w:kinsoku/>
        <w:wordWrap/>
        <w:topLinePunct w:val="0"/>
        <w:bidi w:val="0"/>
        <w:spacing w:line="255"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55"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55"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55"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55"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56"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56"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56"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56"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56"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56"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56"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mc:AlternateContent>
          <mc:Choice Requires="wps">
            <w:drawing>
              <wp:anchor distT="0" distB="0" distL="0" distR="0" simplePos="0" relativeHeight="251660288" behindDoc="1" locked="0" layoutInCell="1" allowOverlap="1">
                <wp:simplePos x="0" y="0"/>
                <wp:positionH relativeFrom="column">
                  <wp:posOffset>-14605</wp:posOffset>
                </wp:positionH>
                <wp:positionV relativeFrom="paragraph">
                  <wp:posOffset>47625</wp:posOffset>
                </wp:positionV>
                <wp:extent cx="7560945" cy="1800225"/>
                <wp:effectExtent l="0" t="0" r="1905" b="9525"/>
                <wp:wrapNone/>
                <wp:docPr id="4" name="Rect 4"/>
                <wp:cNvGraphicFramePr/>
                <a:graphic xmlns:a="http://schemas.openxmlformats.org/drawingml/2006/main">
                  <a:graphicData uri="http://schemas.microsoft.com/office/word/2010/wordprocessingShape">
                    <wps:wsp>
                      <wps:cNvSpPr/>
                      <wps:spPr>
                        <a:xfrm>
                          <a:off x="0" y="-39914"/>
                          <a:ext cx="7560944" cy="1800225"/>
                        </a:xfrm>
                        <a:prstGeom prst="rect">
                          <a:avLst/>
                        </a:prstGeom>
                        <a:solidFill>
                          <a:srgbClr val="92D050">
                            <a:alpha val="87450"/>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4" o:spid="_x0000_s1026" o:spt="1" style="position:absolute;left:0pt;margin-left:-1.15pt;margin-top:3.75pt;height:141.75pt;width:595.35pt;z-index:-251656192;mso-width-relative:page;mso-height-relative:page;" fillcolor="#92D050" filled="t" stroked="f" coordsize="21600,21600" o:gfxdata="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1mlz/tcAAAAJAQAADwAAAAAAAAABACAAAAAiAAAAZHJzL2Rv&#10;d25yZXYueG1sUEsBAhQAFAAAAAgAh07iQJ2AoGY7AgAAiQQAAA4AAAAAAAAAAQAgAAAAJgEAAGRy&#10;cy9lMm9Eb2MueG1sUEsFBgAAAAAGAAYAWQEAANMFAAAAAA==&#10;">
                <v:fill on="t" opacity="57311f" focussize="0,0"/>
                <v:stroke on="f" weight="0pt"/>
                <v:imagedata o:title=""/>
                <o:lock v:ext="edit" aspectratio="f"/>
                <v:textbox inset="0mm,0mm,0mm,0mm"/>
              </v:rect>
            </w:pict>
          </mc:Fallback>
        </mc:AlternateContent>
      </w:r>
      <w:r>
        <w:rPr>
          <w:rFonts w:hint="default" w:ascii="Times New Roman" w:hAnsi="Times New Roman" w:cs="Times New Roman"/>
          <w:color w:val="auto"/>
          <w:highlight w:val="none"/>
        </w:rPr>
        <w:pict>
          <v:shape id="_x0000_s1026" o:spid="_x0000_s1026" style="position:absolute;left:0pt;margin-left:9.65pt;margin-top:3.9pt;height:0.5pt;width:595.35pt;z-index:251661312;mso-width-relative:page;mso-height-relative:page;" filled="f" stroked="t" coordsize="11906,10" path="m11942,5l-227,5e">
            <v:fill on="f" focussize="0,0"/>
            <v:stroke weight="0.5pt" color="#000000" miterlimit="10" joinstyle="miter" endcap="round"/>
            <v:imagedata o:title=""/>
            <o:lock v:ext="edit"/>
          </v:shape>
        </w:pict>
      </w:r>
    </w:p>
    <w:p>
      <w:pPr>
        <w:pStyle w:val="5"/>
        <w:keepNext w:val="0"/>
        <w:keepLines w:val="0"/>
        <w:pageBreakBefore w:val="0"/>
        <w:widowControl/>
        <w:kinsoku/>
        <w:wordWrap/>
        <w:topLinePunct w:val="0"/>
        <w:bidi w:val="0"/>
        <w:spacing w:line="256"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56" w:lineRule="auto"/>
        <w:rPr>
          <w:rFonts w:hint="default" w:ascii="Times New Roman" w:hAnsi="Times New Roman" w:cs="Times New Roman"/>
          <w:color w:val="auto"/>
          <w:highlight w:val="none"/>
        </w:rPr>
      </w:pPr>
    </w:p>
    <w:p>
      <w:pPr>
        <w:keepNext w:val="0"/>
        <w:keepLines w:val="0"/>
        <w:pageBreakBefore w:val="0"/>
        <w:widowControl/>
        <w:kinsoku/>
        <w:wordWrap/>
        <w:topLinePunct w:val="0"/>
        <w:bidi w:val="0"/>
        <w:spacing w:before="190" w:line="232" w:lineRule="auto"/>
        <w:ind w:firstLine="708" w:firstLineChars="100"/>
        <w:outlineLvl w:val="0"/>
        <w:rPr>
          <w:rFonts w:hint="eastAsia" w:ascii="方正黑体_GBK" w:hAnsi="方正黑体_GBK" w:eastAsia="方正黑体_GBK" w:cs="方正黑体_GBK"/>
          <w:color w:val="auto"/>
          <w:sz w:val="72"/>
          <w:szCs w:val="72"/>
          <w:highlight w:val="none"/>
          <w:lang w:eastAsia="zh-CN"/>
        </w:rPr>
        <w:sectPr>
          <w:footerReference r:id="rId6" w:type="default"/>
          <w:pgSz w:w="11907" w:h="16839"/>
          <w:pgMar w:top="1431" w:right="0" w:bottom="1434" w:left="0" w:header="0" w:footer="1067" w:gutter="0"/>
          <w:pgBorders>
            <w:top w:val="none" w:sz="0" w:space="0"/>
            <w:left w:val="none" w:sz="0" w:space="0"/>
            <w:bottom w:val="none" w:sz="0" w:space="0"/>
            <w:right w:val="none" w:sz="0" w:space="0"/>
          </w:pgBorders>
          <w:pgNumType w:fmt="decimal" w:start="1"/>
          <w:cols w:space="720" w:num="1"/>
        </w:sectPr>
      </w:pPr>
      <w:bookmarkStart w:id="1" w:name="_Toc509477910"/>
      <w:r>
        <w:rPr>
          <w:rFonts w:hint="eastAsia" w:ascii="方正黑体_GBK" w:hAnsi="方正黑体_GBK" w:eastAsia="方正黑体_GBK" w:cs="方正黑体_GBK"/>
          <w:color w:val="auto"/>
          <w:spacing w:val="-6"/>
          <w:sz w:val="72"/>
          <w:szCs w:val="72"/>
          <w:highlight w:val="none"/>
        </w:rPr>
        <w:t>第一部分</w:t>
      </w:r>
      <w:bookmarkEnd w:id="1"/>
      <w:bookmarkStart w:id="2" w:name="_Toc1863925695"/>
      <w:r>
        <w:rPr>
          <w:rFonts w:hint="eastAsia" w:ascii="方正黑体_GBK" w:hAnsi="方正黑体_GBK" w:eastAsia="方正黑体_GBK" w:cs="方正黑体_GBK"/>
          <w:color w:val="auto"/>
          <w:sz w:val="72"/>
          <w:szCs w:val="72"/>
          <w:highlight w:val="none"/>
        </w:rPr>
        <w:pict>
          <v:shape id="_x0000_s1027" o:spid="_x0000_s1027" style="position:absolute;left:0pt;margin-left:0.25pt;margin-top:104.7pt;height:0.5pt;width:595.35pt;z-index:251662336;mso-width-relative:page;mso-height-relative:page;" filled="f" stroked="t" coordsize="11906,10" path="m-227,5l11942,5e">
            <v:fill on="f" focussize="0,0"/>
            <v:stroke weight="0.5pt" color="#000000" miterlimit="10" joinstyle="miter" endcap="round"/>
            <v:imagedata o:title=""/>
            <o:lock v:ext="edit"/>
          </v:shape>
        </w:pict>
      </w:r>
      <w:bookmarkStart w:id="3" w:name="bookmark2"/>
      <w:bookmarkEnd w:id="3"/>
      <w:r>
        <w:rPr>
          <w:rFonts w:hint="eastAsia" w:ascii="方正黑体_GBK" w:hAnsi="方正黑体_GBK" w:eastAsia="方正黑体_GBK" w:cs="方正黑体_GBK"/>
          <w:color w:val="auto"/>
          <w:spacing w:val="-6"/>
          <w:sz w:val="72"/>
          <w:szCs w:val="72"/>
          <w:highlight w:val="none"/>
          <w:lang w:val="en-US" w:eastAsia="zh-CN"/>
        </w:rPr>
        <w:t xml:space="preserve">  </w:t>
      </w:r>
      <w:r>
        <w:rPr>
          <w:rFonts w:hint="eastAsia" w:ascii="方正黑体_GBK" w:hAnsi="方正黑体_GBK" w:eastAsia="方正黑体_GBK" w:cs="方正黑体_GBK"/>
          <w:color w:val="auto"/>
          <w:spacing w:val="-7"/>
          <w:sz w:val="72"/>
          <w:szCs w:val="72"/>
          <w:highlight w:val="none"/>
          <w:lang w:eastAsia="zh-CN"/>
        </w:rPr>
        <w:t>资兴市消防救援大队</w:t>
      </w:r>
      <w:r>
        <w:rPr>
          <w:rFonts w:hint="eastAsia" w:ascii="方正黑体_GBK" w:hAnsi="方正黑体_GBK" w:eastAsia="方正黑体_GBK" w:cs="方正黑体_GBK"/>
          <w:color w:val="auto"/>
          <w:spacing w:val="-7"/>
          <w:sz w:val="72"/>
          <w:szCs w:val="72"/>
          <w:highlight w:val="none"/>
        </w:rPr>
        <w:t>概</w:t>
      </w:r>
      <w:r>
        <w:rPr>
          <w:rFonts w:hint="eastAsia" w:ascii="方正黑体_GBK" w:hAnsi="方正黑体_GBK" w:eastAsia="方正黑体_GBK" w:cs="方正黑体_GBK"/>
          <w:color w:val="auto"/>
          <w:spacing w:val="-7"/>
          <w:sz w:val="72"/>
          <w:szCs w:val="72"/>
          <w:highlight w:val="none"/>
          <w:lang w:eastAsia="zh-CN"/>
        </w:rPr>
        <w:t>况</w:t>
      </w:r>
      <w:bookmarkEnd w:id="2"/>
    </w:p>
    <w:p>
      <w:pPr>
        <w:keepNext w:val="0"/>
        <w:keepLines w:val="0"/>
        <w:pageBreakBefore w:val="0"/>
        <w:widowControl/>
        <w:kinsoku/>
        <w:wordWrap/>
        <w:overflowPunct/>
        <w:topLinePunct w:val="0"/>
        <w:autoSpaceDE w:val="0"/>
        <w:autoSpaceDN w:val="0"/>
        <w:bidi w:val="0"/>
        <w:adjustRightInd w:val="0"/>
        <w:snapToGrid w:val="0"/>
        <w:spacing w:line="600" w:lineRule="exact"/>
        <w:ind w:left="8" w:firstLine="639"/>
        <w:textAlignment w:val="baseline"/>
        <w:outlineLvl w:val="0"/>
        <w:rPr>
          <w:rFonts w:hint="eastAsia" w:ascii="方正黑体_GBK" w:hAnsi="方正黑体_GBK" w:eastAsia="方正黑体_GBK" w:cs="方正黑体_GBK"/>
          <w:sz w:val="32"/>
          <w:szCs w:val="32"/>
        </w:rPr>
      </w:pPr>
      <w:bookmarkStart w:id="4" w:name="_Toc241871418"/>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eastAsia="zh-CN"/>
        </w:rPr>
        <w:t>主要</w:t>
      </w:r>
      <w:r>
        <w:rPr>
          <w:rFonts w:hint="eastAsia" w:ascii="方正黑体_GBK" w:hAnsi="方正黑体_GBK" w:eastAsia="方正黑体_GBK" w:cs="方正黑体_GBK"/>
          <w:sz w:val="32"/>
          <w:szCs w:val="32"/>
        </w:rPr>
        <w:t>职责</w:t>
      </w:r>
      <w:bookmarkEnd w:id="4"/>
    </w:p>
    <w:p>
      <w:pPr>
        <w:keepNext w:val="0"/>
        <w:keepLines w:val="0"/>
        <w:pageBreakBefore w:val="0"/>
        <w:widowControl/>
        <w:kinsoku/>
        <w:wordWrap/>
        <w:overflowPunct/>
        <w:topLinePunct w:val="0"/>
        <w:autoSpaceDE w:val="0"/>
        <w:autoSpaceDN w:val="0"/>
        <w:bidi w:val="0"/>
        <w:adjustRightInd w:val="0"/>
        <w:snapToGrid w:val="0"/>
        <w:spacing w:line="550" w:lineRule="exact"/>
        <w:ind w:firstLine="632" w:firstLineChars="200"/>
        <w:textAlignment w:val="baseline"/>
        <w:rPr>
          <w:rFonts w:hint="eastAsia" w:ascii="方正仿宋_GBK" w:hAnsi="方正仿宋_GBK" w:eastAsia="方正仿宋_GBK" w:cs="方正仿宋_GBK"/>
          <w:color w:val="auto"/>
          <w:spacing w:val="3"/>
          <w:sz w:val="31"/>
          <w:szCs w:val="31"/>
          <w:lang w:eastAsia="zh-CN"/>
        </w:rPr>
      </w:pPr>
      <w:bookmarkStart w:id="5" w:name="_Toc727024387"/>
      <w:r>
        <w:rPr>
          <w:rFonts w:hint="eastAsia" w:ascii="方正仿宋_GBK" w:hAnsi="方正仿宋_GBK" w:eastAsia="方正仿宋_GBK" w:cs="方正仿宋_GBK"/>
          <w:color w:val="auto"/>
          <w:spacing w:val="3"/>
          <w:sz w:val="31"/>
          <w:szCs w:val="31"/>
          <w:lang w:eastAsia="zh-CN"/>
        </w:rPr>
        <w:t>国家综合性消防救援队伍承担防范化解重大安全风险、应对处置各类灾害事故的重要职责，是应急救援的主力军和国家队。资兴市消防救援大队隶属郴州市消防救援支队，依据有关法律法规履行下列职责：</w:t>
      </w:r>
    </w:p>
    <w:p>
      <w:pPr>
        <w:keepNext w:val="0"/>
        <w:keepLines w:val="0"/>
        <w:pageBreakBefore w:val="0"/>
        <w:widowControl/>
        <w:kinsoku/>
        <w:wordWrap/>
        <w:overflowPunct/>
        <w:topLinePunct w:val="0"/>
        <w:autoSpaceDE w:val="0"/>
        <w:autoSpaceDN w:val="0"/>
        <w:bidi w:val="0"/>
        <w:adjustRightInd w:val="0"/>
        <w:snapToGrid w:val="0"/>
        <w:spacing w:line="550" w:lineRule="exact"/>
        <w:ind w:firstLine="632" w:firstLineChars="200"/>
        <w:textAlignment w:val="baseline"/>
        <w:rPr>
          <w:rFonts w:hint="eastAsia" w:ascii="方正仿宋_GBK" w:hAnsi="方正仿宋_GBK" w:eastAsia="方正仿宋_GBK" w:cs="方正仿宋_GBK"/>
          <w:color w:val="auto"/>
          <w:spacing w:val="3"/>
          <w:sz w:val="31"/>
          <w:szCs w:val="31"/>
          <w:lang w:eastAsia="zh-CN"/>
        </w:rPr>
      </w:pPr>
      <w:r>
        <w:rPr>
          <w:rFonts w:hint="eastAsia" w:ascii="方正仿宋_GBK" w:hAnsi="方正仿宋_GBK" w:eastAsia="方正仿宋_GBK" w:cs="方正仿宋_GBK"/>
          <w:color w:val="auto"/>
          <w:spacing w:val="3"/>
          <w:sz w:val="31"/>
          <w:szCs w:val="31"/>
          <w:lang w:eastAsia="zh-CN"/>
        </w:rPr>
        <w:t>（一）承担城乡综合性消防救援工作，负责指挥调度相关灾害事故救援行动，承担重要会议、大型活动消防安全保卫工作。</w:t>
      </w:r>
    </w:p>
    <w:p>
      <w:pPr>
        <w:keepNext w:val="0"/>
        <w:keepLines w:val="0"/>
        <w:pageBreakBefore w:val="0"/>
        <w:widowControl/>
        <w:kinsoku/>
        <w:wordWrap/>
        <w:overflowPunct/>
        <w:topLinePunct w:val="0"/>
        <w:autoSpaceDE w:val="0"/>
        <w:autoSpaceDN w:val="0"/>
        <w:bidi w:val="0"/>
        <w:adjustRightInd w:val="0"/>
        <w:snapToGrid w:val="0"/>
        <w:spacing w:line="550" w:lineRule="exact"/>
        <w:ind w:firstLine="632" w:firstLineChars="200"/>
        <w:textAlignment w:val="baseline"/>
        <w:rPr>
          <w:rFonts w:hint="eastAsia" w:ascii="方正仿宋_GBK" w:hAnsi="方正仿宋_GBK" w:eastAsia="方正仿宋_GBK" w:cs="方正仿宋_GBK"/>
          <w:color w:val="auto"/>
          <w:spacing w:val="3"/>
          <w:sz w:val="31"/>
          <w:szCs w:val="31"/>
          <w:lang w:eastAsia="zh-CN"/>
        </w:rPr>
      </w:pPr>
      <w:r>
        <w:rPr>
          <w:rFonts w:hint="eastAsia" w:ascii="方正仿宋_GBK" w:hAnsi="方正仿宋_GBK" w:eastAsia="方正仿宋_GBK" w:cs="方正仿宋_GBK"/>
          <w:color w:val="auto"/>
          <w:spacing w:val="3"/>
          <w:sz w:val="31"/>
          <w:szCs w:val="31"/>
          <w:lang w:eastAsia="zh-CN"/>
        </w:rPr>
        <w:t>（二）承担火灾预防、消防监督执法以及火灾事故调查处理相关工作，依法行使消防安全综合监管职能，推动落实消防安全责任制。</w:t>
      </w:r>
    </w:p>
    <w:p>
      <w:pPr>
        <w:keepNext w:val="0"/>
        <w:keepLines w:val="0"/>
        <w:pageBreakBefore w:val="0"/>
        <w:widowControl/>
        <w:kinsoku/>
        <w:wordWrap/>
        <w:overflowPunct/>
        <w:topLinePunct w:val="0"/>
        <w:autoSpaceDE w:val="0"/>
        <w:autoSpaceDN w:val="0"/>
        <w:bidi w:val="0"/>
        <w:adjustRightInd w:val="0"/>
        <w:snapToGrid w:val="0"/>
        <w:spacing w:line="550" w:lineRule="exact"/>
        <w:ind w:firstLine="632" w:firstLineChars="200"/>
        <w:textAlignment w:val="baseline"/>
        <w:rPr>
          <w:rFonts w:hint="eastAsia" w:ascii="方正仿宋_GBK" w:hAnsi="方正仿宋_GBK" w:eastAsia="方正仿宋_GBK" w:cs="方正仿宋_GBK"/>
          <w:color w:val="auto"/>
          <w:spacing w:val="3"/>
          <w:sz w:val="31"/>
          <w:szCs w:val="31"/>
          <w:lang w:eastAsia="zh-CN"/>
        </w:rPr>
      </w:pPr>
      <w:r>
        <w:rPr>
          <w:rFonts w:hint="eastAsia" w:ascii="方正仿宋_GBK" w:hAnsi="方正仿宋_GBK" w:eastAsia="方正仿宋_GBK" w:cs="方正仿宋_GBK"/>
          <w:color w:val="auto"/>
          <w:spacing w:val="3"/>
          <w:sz w:val="31"/>
          <w:szCs w:val="31"/>
          <w:lang w:eastAsia="zh-CN"/>
        </w:rPr>
        <w:t>（三）参与拟订消防专项规划，并监督实施。</w:t>
      </w:r>
    </w:p>
    <w:p>
      <w:pPr>
        <w:keepNext w:val="0"/>
        <w:keepLines w:val="0"/>
        <w:pageBreakBefore w:val="0"/>
        <w:widowControl/>
        <w:kinsoku/>
        <w:wordWrap/>
        <w:overflowPunct/>
        <w:topLinePunct w:val="0"/>
        <w:autoSpaceDE w:val="0"/>
        <w:autoSpaceDN w:val="0"/>
        <w:bidi w:val="0"/>
        <w:adjustRightInd w:val="0"/>
        <w:snapToGrid w:val="0"/>
        <w:spacing w:line="550" w:lineRule="exact"/>
        <w:ind w:firstLine="632" w:firstLineChars="200"/>
        <w:textAlignment w:val="baseline"/>
        <w:rPr>
          <w:rFonts w:hint="eastAsia" w:ascii="方正仿宋_GBK" w:hAnsi="方正仿宋_GBK" w:eastAsia="方正仿宋_GBK" w:cs="方正仿宋_GBK"/>
          <w:color w:val="auto"/>
          <w:spacing w:val="3"/>
          <w:sz w:val="31"/>
          <w:szCs w:val="31"/>
          <w:lang w:eastAsia="zh-CN"/>
        </w:rPr>
      </w:pPr>
      <w:r>
        <w:rPr>
          <w:rFonts w:hint="eastAsia" w:ascii="方正仿宋_GBK" w:hAnsi="方正仿宋_GBK" w:eastAsia="方正仿宋_GBK" w:cs="方正仿宋_GBK"/>
          <w:color w:val="auto"/>
          <w:spacing w:val="3"/>
          <w:sz w:val="31"/>
          <w:szCs w:val="31"/>
          <w:lang w:eastAsia="zh-CN"/>
        </w:rPr>
        <w:t>（四）负责消防救援队伍综合性消防救援预案编制、战术研究和执勤备战、训练演练等工作。</w:t>
      </w:r>
    </w:p>
    <w:p>
      <w:pPr>
        <w:keepNext w:val="0"/>
        <w:keepLines w:val="0"/>
        <w:pageBreakBefore w:val="0"/>
        <w:widowControl/>
        <w:kinsoku/>
        <w:wordWrap/>
        <w:overflowPunct/>
        <w:topLinePunct w:val="0"/>
        <w:autoSpaceDE w:val="0"/>
        <w:autoSpaceDN w:val="0"/>
        <w:bidi w:val="0"/>
        <w:adjustRightInd w:val="0"/>
        <w:snapToGrid w:val="0"/>
        <w:spacing w:line="550" w:lineRule="exact"/>
        <w:ind w:firstLine="632" w:firstLineChars="200"/>
        <w:textAlignment w:val="baseline"/>
        <w:rPr>
          <w:rFonts w:hint="eastAsia" w:ascii="方正仿宋_GBK" w:hAnsi="方正仿宋_GBK" w:eastAsia="方正仿宋_GBK" w:cs="方正仿宋_GBK"/>
          <w:color w:val="auto"/>
          <w:spacing w:val="3"/>
          <w:sz w:val="31"/>
          <w:szCs w:val="31"/>
          <w:lang w:eastAsia="zh-CN"/>
        </w:rPr>
      </w:pPr>
      <w:r>
        <w:rPr>
          <w:rFonts w:hint="eastAsia" w:ascii="方正仿宋_GBK" w:hAnsi="方正仿宋_GBK" w:eastAsia="方正仿宋_GBK" w:cs="方正仿宋_GBK"/>
          <w:color w:val="auto"/>
          <w:spacing w:val="3"/>
          <w:sz w:val="31"/>
          <w:szCs w:val="31"/>
          <w:lang w:eastAsia="zh-CN"/>
        </w:rPr>
        <w:t>（五）负责消防救援信息化和应急通信建设，承担综合性消防救援行动应急通信保障工作。</w:t>
      </w:r>
    </w:p>
    <w:p>
      <w:pPr>
        <w:keepNext w:val="0"/>
        <w:keepLines w:val="0"/>
        <w:pageBreakBefore w:val="0"/>
        <w:widowControl/>
        <w:kinsoku/>
        <w:wordWrap/>
        <w:overflowPunct/>
        <w:topLinePunct w:val="0"/>
        <w:autoSpaceDE w:val="0"/>
        <w:autoSpaceDN w:val="0"/>
        <w:bidi w:val="0"/>
        <w:adjustRightInd w:val="0"/>
        <w:snapToGrid w:val="0"/>
        <w:spacing w:line="550" w:lineRule="exact"/>
        <w:ind w:firstLine="632" w:firstLineChars="200"/>
        <w:textAlignment w:val="baseline"/>
        <w:rPr>
          <w:rFonts w:hint="eastAsia" w:ascii="方正仿宋_GBK" w:hAnsi="方正仿宋_GBK" w:eastAsia="方正仿宋_GBK" w:cs="方正仿宋_GBK"/>
          <w:color w:val="auto"/>
          <w:spacing w:val="3"/>
          <w:sz w:val="31"/>
          <w:szCs w:val="31"/>
          <w:lang w:eastAsia="zh-CN"/>
        </w:rPr>
      </w:pPr>
      <w:r>
        <w:rPr>
          <w:rFonts w:hint="eastAsia" w:ascii="方正仿宋_GBK" w:hAnsi="方正仿宋_GBK" w:eastAsia="方正仿宋_GBK" w:cs="方正仿宋_GBK"/>
          <w:color w:val="auto"/>
          <w:spacing w:val="3"/>
          <w:sz w:val="31"/>
          <w:szCs w:val="31"/>
          <w:lang w:eastAsia="zh-CN"/>
        </w:rPr>
        <w:t>（六）负责消防安全宣传教育，组织指导社会消防力量建设。</w:t>
      </w:r>
    </w:p>
    <w:p>
      <w:pPr>
        <w:keepNext w:val="0"/>
        <w:keepLines w:val="0"/>
        <w:pageBreakBefore w:val="0"/>
        <w:widowControl/>
        <w:kinsoku/>
        <w:wordWrap/>
        <w:overflowPunct/>
        <w:topLinePunct w:val="0"/>
        <w:autoSpaceDE w:val="0"/>
        <w:autoSpaceDN w:val="0"/>
        <w:bidi w:val="0"/>
        <w:adjustRightInd w:val="0"/>
        <w:snapToGrid w:val="0"/>
        <w:spacing w:line="550" w:lineRule="exact"/>
        <w:ind w:firstLine="632" w:firstLineChars="200"/>
        <w:textAlignment w:val="baseline"/>
        <w:rPr>
          <w:rFonts w:hint="eastAsia" w:ascii="方正仿宋_GBK" w:hAnsi="方正仿宋_GBK" w:eastAsia="方正仿宋_GBK" w:cs="方正仿宋_GBK"/>
          <w:color w:val="auto"/>
          <w:spacing w:val="3"/>
          <w:sz w:val="31"/>
          <w:szCs w:val="31"/>
          <w:lang w:eastAsia="zh-CN"/>
        </w:rPr>
      </w:pPr>
      <w:r>
        <w:rPr>
          <w:rFonts w:hint="eastAsia" w:ascii="方正仿宋_GBK" w:hAnsi="方正仿宋_GBK" w:eastAsia="方正仿宋_GBK" w:cs="方正仿宋_GBK"/>
          <w:color w:val="auto"/>
          <w:spacing w:val="3"/>
          <w:sz w:val="31"/>
          <w:szCs w:val="31"/>
          <w:lang w:eastAsia="zh-CN"/>
        </w:rPr>
        <w:t>（七）负责消防应急救援专业队伍规划、建设与调度指挥，参与组织协调动员各类社会救援力量参加救援任务。</w:t>
      </w:r>
    </w:p>
    <w:p>
      <w:pPr>
        <w:keepNext w:val="0"/>
        <w:keepLines w:val="0"/>
        <w:pageBreakBefore w:val="0"/>
        <w:widowControl/>
        <w:kinsoku/>
        <w:wordWrap/>
        <w:overflowPunct/>
        <w:topLinePunct w:val="0"/>
        <w:autoSpaceDE w:val="0"/>
        <w:autoSpaceDN w:val="0"/>
        <w:bidi w:val="0"/>
        <w:adjustRightInd w:val="0"/>
        <w:snapToGrid w:val="0"/>
        <w:spacing w:line="550" w:lineRule="exact"/>
        <w:ind w:firstLine="632" w:firstLineChars="200"/>
        <w:textAlignment w:val="baseline"/>
        <w:rPr>
          <w:rFonts w:hint="eastAsia" w:ascii="方正仿宋_GBK" w:hAnsi="方正仿宋_GBK" w:eastAsia="方正仿宋_GBK" w:cs="方正仿宋_GBK"/>
          <w:color w:val="auto"/>
          <w:spacing w:val="3"/>
          <w:sz w:val="31"/>
          <w:szCs w:val="31"/>
          <w:lang w:eastAsia="zh-CN"/>
        </w:rPr>
      </w:pPr>
      <w:r>
        <w:rPr>
          <w:rFonts w:hint="eastAsia" w:ascii="方正仿宋_GBK" w:hAnsi="方正仿宋_GBK" w:eastAsia="方正仿宋_GBK" w:cs="方正仿宋_GBK"/>
          <w:color w:val="auto"/>
          <w:spacing w:val="3"/>
          <w:sz w:val="31"/>
          <w:szCs w:val="31"/>
          <w:lang w:eastAsia="zh-CN"/>
        </w:rPr>
        <w:t>（八）负责消防救援队伍建设与管理。</w:t>
      </w:r>
    </w:p>
    <w:p>
      <w:pPr>
        <w:keepNext w:val="0"/>
        <w:keepLines w:val="0"/>
        <w:pageBreakBefore w:val="0"/>
        <w:widowControl/>
        <w:kinsoku/>
        <w:wordWrap/>
        <w:overflowPunct/>
        <w:topLinePunct w:val="0"/>
        <w:autoSpaceDE w:val="0"/>
        <w:autoSpaceDN w:val="0"/>
        <w:bidi w:val="0"/>
        <w:adjustRightInd w:val="0"/>
        <w:snapToGrid w:val="0"/>
        <w:spacing w:line="550" w:lineRule="exact"/>
        <w:ind w:firstLine="632" w:firstLineChars="200"/>
        <w:textAlignment w:val="baseline"/>
        <w:rPr>
          <w:rFonts w:hint="eastAsia" w:ascii="方正仿宋_GBK" w:hAnsi="方正仿宋_GBK" w:eastAsia="方正仿宋_GBK" w:cs="方正仿宋_GBK"/>
          <w:color w:val="auto"/>
          <w:spacing w:val="3"/>
          <w:sz w:val="31"/>
          <w:szCs w:val="31"/>
          <w:lang w:eastAsia="zh-CN"/>
        </w:rPr>
      </w:pPr>
      <w:r>
        <w:rPr>
          <w:rFonts w:hint="eastAsia" w:ascii="方正仿宋_GBK" w:hAnsi="方正仿宋_GBK" w:eastAsia="方正仿宋_GBK" w:cs="方正仿宋_GBK"/>
          <w:color w:val="auto"/>
          <w:spacing w:val="3"/>
          <w:sz w:val="31"/>
          <w:szCs w:val="31"/>
          <w:lang w:eastAsia="zh-CN"/>
        </w:rPr>
        <w:t>（九）完成郴州市消防救援支队和市委市政府交办的相关任务。</w:t>
      </w:r>
    </w:p>
    <w:p>
      <w:pPr>
        <w:keepNext w:val="0"/>
        <w:keepLines w:val="0"/>
        <w:pageBreakBefore w:val="0"/>
        <w:widowControl/>
        <w:kinsoku/>
        <w:wordWrap/>
        <w:overflowPunct/>
        <w:topLinePunct w:val="0"/>
        <w:autoSpaceDE w:val="0"/>
        <w:autoSpaceDN w:val="0"/>
        <w:bidi w:val="0"/>
        <w:adjustRightInd w:val="0"/>
        <w:snapToGrid w:val="0"/>
        <w:spacing w:line="600" w:lineRule="exact"/>
        <w:ind w:left="8" w:firstLine="639"/>
        <w:textAlignment w:val="baseline"/>
        <w:outlineLvl w:val="0"/>
        <w:rPr>
          <w:rFonts w:hint="eastAsia" w:ascii="方正黑体_GBK" w:hAnsi="方正黑体_GBK" w:eastAsia="方正黑体_GBK" w:cs="方正黑体_GBK"/>
          <w:sz w:val="32"/>
          <w:szCs w:val="32"/>
        </w:rPr>
      </w:pPr>
    </w:p>
    <w:p>
      <w:pPr>
        <w:keepNext w:val="0"/>
        <w:keepLines w:val="0"/>
        <w:pageBreakBefore w:val="0"/>
        <w:widowControl/>
        <w:kinsoku/>
        <w:wordWrap/>
        <w:overflowPunct/>
        <w:topLinePunct w:val="0"/>
        <w:autoSpaceDE w:val="0"/>
        <w:autoSpaceDN w:val="0"/>
        <w:bidi w:val="0"/>
        <w:adjustRightInd w:val="0"/>
        <w:snapToGrid w:val="0"/>
        <w:spacing w:line="600" w:lineRule="exact"/>
        <w:ind w:left="8" w:firstLine="639"/>
        <w:textAlignment w:val="baseline"/>
        <w:outlineLvl w:val="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二、机构设置</w:t>
      </w:r>
      <w:bookmarkEnd w:id="5"/>
    </w:p>
    <w:p>
      <w:pPr>
        <w:keepNext w:val="0"/>
        <w:keepLines w:val="0"/>
        <w:pageBreakBefore w:val="0"/>
        <w:widowControl/>
        <w:kinsoku/>
        <w:wordWrap/>
        <w:overflowPunct/>
        <w:topLinePunct w:val="0"/>
        <w:autoSpaceDE w:val="0"/>
        <w:autoSpaceDN w:val="0"/>
        <w:bidi w:val="0"/>
        <w:adjustRightInd w:val="0"/>
        <w:snapToGrid w:val="0"/>
        <w:spacing w:line="550" w:lineRule="exact"/>
        <w:ind w:firstLine="632" w:firstLineChars="200"/>
        <w:textAlignment w:val="baseline"/>
        <w:rPr>
          <w:rFonts w:hint="eastAsia" w:ascii="方正仿宋_GBK" w:hAnsi="方正仿宋_GBK" w:eastAsia="方正仿宋_GBK" w:cs="方正仿宋_GBK"/>
          <w:color w:val="auto"/>
          <w:spacing w:val="3"/>
          <w:sz w:val="31"/>
          <w:szCs w:val="31"/>
          <w:lang w:val="en-US" w:eastAsia="zh-CN"/>
        </w:rPr>
        <w:sectPr>
          <w:footerReference r:id="rId7" w:type="default"/>
          <w:pgSz w:w="11907" w:h="16839"/>
          <w:pgMar w:top="2098" w:right="1531" w:bottom="1531" w:left="1531" w:header="0" w:footer="1070" w:gutter="0"/>
          <w:pgBorders>
            <w:top w:val="none" w:sz="0" w:space="0"/>
            <w:left w:val="none" w:sz="0" w:space="0"/>
            <w:bottom w:val="none" w:sz="0" w:space="0"/>
            <w:right w:val="none" w:sz="0" w:space="0"/>
          </w:pgBorders>
          <w:pgNumType w:fmt="decimal"/>
          <w:cols w:space="720" w:num="1"/>
        </w:sectPr>
      </w:pPr>
      <w:r>
        <w:rPr>
          <w:rFonts w:hint="eastAsia" w:ascii="方正仿宋_GBK" w:hAnsi="方正仿宋_GBK" w:eastAsia="方正仿宋_GBK" w:cs="方正仿宋_GBK"/>
          <w:color w:val="auto"/>
          <w:spacing w:val="3"/>
          <w:sz w:val="31"/>
          <w:szCs w:val="31"/>
          <w:lang w:val="en-US" w:eastAsia="zh-CN"/>
        </w:rPr>
        <w:t>资兴市消防救援大队下设</w:t>
      </w:r>
      <w:r>
        <w:rPr>
          <w:rFonts w:hint="eastAsia" w:ascii="方正仿宋_GBK" w:hAnsi="方正仿宋_GBK" w:eastAsia="方正仿宋_GBK" w:cs="方正仿宋_GBK"/>
          <w:color w:val="auto"/>
          <w:spacing w:val="3"/>
          <w:sz w:val="31"/>
          <w:szCs w:val="31"/>
          <w:lang w:val="zh-CN" w:eastAsia="zh-CN"/>
        </w:rPr>
        <w:t>资兴市新民消防救援站</w:t>
      </w:r>
      <w:r>
        <w:rPr>
          <w:rFonts w:hint="eastAsia" w:ascii="方正仿宋_GBK" w:hAnsi="方正仿宋_GBK" w:eastAsia="方正仿宋_GBK" w:cs="方正仿宋_GBK"/>
          <w:color w:val="auto"/>
          <w:spacing w:val="3"/>
          <w:sz w:val="31"/>
          <w:szCs w:val="31"/>
          <w:lang w:val="en-US" w:eastAsia="zh-CN"/>
        </w:rPr>
        <w:t>、</w:t>
      </w:r>
      <w:r>
        <w:rPr>
          <w:rFonts w:hint="eastAsia" w:ascii="方正仿宋_GBK" w:hAnsi="方正仿宋_GBK" w:eastAsia="方正仿宋_GBK" w:cs="方正仿宋_GBK"/>
          <w:color w:val="auto"/>
          <w:spacing w:val="3"/>
          <w:sz w:val="31"/>
          <w:szCs w:val="31"/>
          <w:lang w:val="zh-CN" w:eastAsia="zh-CN"/>
        </w:rPr>
        <w:t>资兴市东江政府专职消防救援</w:t>
      </w:r>
      <w:bookmarkStart w:id="6" w:name="bookmark28"/>
      <w:bookmarkEnd w:id="6"/>
      <w:bookmarkStart w:id="7" w:name="bookmark29"/>
      <w:bookmarkEnd w:id="7"/>
      <w:r>
        <w:rPr>
          <w:rFonts w:hint="eastAsia" w:ascii="方正仿宋_GBK" w:hAnsi="方正仿宋_GBK" w:eastAsia="方正仿宋_GBK" w:cs="方正仿宋_GBK"/>
          <w:color w:val="auto"/>
          <w:spacing w:val="3"/>
          <w:sz w:val="31"/>
          <w:szCs w:val="31"/>
          <w:lang w:val="zh-CN" w:eastAsia="zh-CN"/>
        </w:rPr>
        <w:t>。</w:t>
      </w:r>
    </w:p>
    <w:p>
      <w:pPr>
        <w:pStyle w:val="5"/>
        <w:keepNext w:val="0"/>
        <w:keepLines w:val="0"/>
        <w:pageBreakBefore w:val="0"/>
        <w:widowControl/>
        <w:kinsoku/>
        <w:wordWrap/>
        <w:topLinePunct w:val="0"/>
        <w:bidi w:val="0"/>
        <w:spacing w:line="245"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5"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5"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5"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5"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5"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5"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5"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5"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6"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6"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6"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6"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6"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6"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6"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6"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mc:AlternateContent>
          <mc:Choice Requires="wps">
            <w:drawing>
              <wp:anchor distT="0" distB="0" distL="0" distR="0" simplePos="0" relativeHeight="251663360" behindDoc="1" locked="0" layoutInCell="1" allowOverlap="1">
                <wp:simplePos x="0" y="0"/>
                <wp:positionH relativeFrom="column">
                  <wp:posOffset>-22860</wp:posOffset>
                </wp:positionH>
                <wp:positionV relativeFrom="paragraph">
                  <wp:posOffset>27940</wp:posOffset>
                </wp:positionV>
                <wp:extent cx="7672070" cy="1800225"/>
                <wp:effectExtent l="0" t="0" r="5080" b="9525"/>
                <wp:wrapNone/>
                <wp:docPr id="6" name="Rect 6"/>
                <wp:cNvGraphicFramePr/>
                <a:graphic xmlns:a="http://schemas.openxmlformats.org/drawingml/2006/main">
                  <a:graphicData uri="http://schemas.microsoft.com/office/word/2010/wordprocessingShape">
                    <wps:wsp>
                      <wps:cNvSpPr/>
                      <wps:spPr>
                        <a:xfrm>
                          <a:off x="0" y="-40334"/>
                          <a:ext cx="7672070" cy="1800225"/>
                        </a:xfrm>
                        <a:prstGeom prst="rect">
                          <a:avLst/>
                        </a:prstGeom>
                        <a:solidFill>
                          <a:srgbClr val="92D050">
                            <a:alpha val="87450"/>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6" o:spid="_x0000_s1026" o:spt="1" style="position:absolute;left:0pt;margin-left:-1.8pt;margin-top:2.2pt;height:141.75pt;width:604.1pt;z-index:-251653120;mso-width-relative:page;mso-height-relative:page;" fillcolor="#92D050" filled="t" stroked="f" coordsize="21600,21600" o:gfxdata="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OacmL1wAAAAkBAAAPAAAAAAAAAAEAIAAAACIAAABkcnMvZG93&#10;bnJldi54bWxQSwECFAAUAAAACACHTuJA4HIF/DoCAACJBAAADgAAAAAAAAABACAAAAAmAQAAZHJz&#10;L2Uyb0RvYy54bWxQSwUGAAAAAAYABgBZAQAA0gUAAAAA&#10;">
                <v:fill on="t" opacity="57311f" focussize="0,0"/>
                <v:stroke on="f" weight="0pt"/>
                <v:imagedata o:title=""/>
                <o:lock v:ext="edit" aspectratio="f"/>
                <v:textbox inset="0mm,0mm,0mm,0mm"/>
              </v:rect>
            </w:pict>
          </mc:Fallback>
        </mc:AlternateContent>
      </w:r>
      <w:r>
        <w:rPr>
          <w:rFonts w:hint="default" w:ascii="Times New Roman" w:hAnsi="Times New Roman" w:cs="Times New Roman"/>
          <w:color w:val="auto"/>
          <w:highlight w:val="none"/>
        </w:rPr>
        <w:pict>
          <v:shape id="_x0000_s1028" o:spid="_x0000_s1028" style="position:absolute;left:0pt;margin-left:3.05pt;margin-top:3.2pt;height:0.5pt;width:595.35pt;z-index:251665408;mso-width-relative:page;mso-height-relative:page;" filled="f" stroked="t" coordsize="11906,10" path="m11984,5l-290,5e">
            <v:fill on="f" focussize="0,0"/>
            <v:stroke weight="0.5pt" color="#000000" miterlimit="10" joinstyle="miter" endcap="round"/>
            <v:imagedata o:title=""/>
            <o:lock v:ext="edit"/>
          </v:shape>
        </w:pict>
      </w:r>
    </w:p>
    <w:p>
      <w:pPr>
        <w:pStyle w:val="5"/>
        <w:keepNext w:val="0"/>
        <w:keepLines w:val="0"/>
        <w:pageBreakBefore w:val="0"/>
        <w:widowControl/>
        <w:kinsoku/>
        <w:wordWrap/>
        <w:topLinePunct w:val="0"/>
        <w:bidi w:val="0"/>
        <w:spacing w:line="246"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6" w:lineRule="auto"/>
        <w:rPr>
          <w:rFonts w:hint="default" w:ascii="Times New Roman" w:hAnsi="Times New Roman" w:cs="Times New Roman"/>
          <w:color w:val="auto"/>
          <w:highlight w:val="none"/>
        </w:rPr>
      </w:pPr>
    </w:p>
    <w:p>
      <w:pPr>
        <w:keepNext w:val="0"/>
        <w:keepLines w:val="0"/>
        <w:pageBreakBefore w:val="0"/>
        <w:widowControl/>
        <w:kinsoku/>
        <w:wordWrap/>
        <w:topLinePunct w:val="0"/>
        <w:bidi w:val="0"/>
        <w:spacing w:before="190" w:line="232" w:lineRule="auto"/>
        <w:ind w:firstLine="710" w:firstLineChars="100"/>
        <w:jc w:val="both"/>
        <w:outlineLvl w:val="0"/>
        <w:rPr>
          <w:rFonts w:hint="eastAsia" w:ascii="方正黑体_GBK" w:hAnsi="方正黑体_GBK" w:eastAsia="方正黑体_GBK" w:cs="方正黑体_GBK"/>
          <w:color w:val="auto"/>
          <w:sz w:val="72"/>
          <w:szCs w:val="72"/>
          <w:highlight w:val="none"/>
        </w:rPr>
      </w:pPr>
      <w:bookmarkStart w:id="8" w:name="bookmark32"/>
      <w:bookmarkEnd w:id="8"/>
      <w:bookmarkStart w:id="9" w:name="_Toc790115687"/>
      <w:r>
        <w:rPr>
          <w:rFonts w:hint="eastAsia" w:ascii="方正黑体_GBK" w:hAnsi="方正黑体_GBK" w:eastAsia="方正黑体_GBK" w:cs="方正黑体_GBK"/>
          <w:color w:val="auto"/>
          <w:spacing w:val="-5"/>
          <w:sz w:val="72"/>
          <w:szCs w:val="72"/>
          <w:highlight w:val="none"/>
        </w:rPr>
        <w:t>第二部分</w:t>
      </w:r>
      <w:bookmarkEnd w:id="9"/>
      <w:bookmarkStart w:id="10" w:name="_Toc1643600123"/>
      <w:r>
        <w:rPr>
          <w:rFonts w:hint="eastAsia" w:ascii="方正黑体_GBK" w:hAnsi="方正黑体_GBK" w:eastAsia="方正黑体_GBK" w:cs="方正黑体_GBK"/>
          <w:color w:val="auto"/>
          <w:sz w:val="72"/>
          <w:szCs w:val="72"/>
          <w:highlight w:val="none"/>
        </w:rPr>
        <w:pict>
          <v:shape id="_x0000_s1029" o:spid="_x0000_s1029" style="position:absolute;left:0pt;margin-left:0.25pt;margin-top:103.9pt;height:0.5pt;width:595.35pt;z-index:251664384;mso-width-relative:page;mso-height-relative:page;" filled="f" stroked="t" coordsize="11906,10" path="m-290,5l11984,5e">
            <v:fill on="f" focussize="0,0"/>
            <v:stroke weight="0.5pt" color="#000000" miterlimit="10" joinstyle="miter" endcap="round"/>
            <v:imagedata o:title=""/>
            <o:lock v:ext="edit"/>
          </v:shape>
        </w:pict>
      </w:r>
      <w:bookmarkStart w:id="11" w:name="bookmark5"/>
      <w:bookmarkEnd w:id="11"/>
      <w:r>
        <w:rPr>
          <w:rFonts w:hint="eastAsia" w:ascii="方正黑体_GBK" w:hAnsi="方正黑体_GBK" w:eastAsia="方正黑体_GBK" w:cs="方正黑体_GBK"/>
          <w:color w:val="auto"/>
          <w:sz w:val="72"/>
          <w:szCs w:val="72"/>
          <w:highlight w:val="none"/>
          <w:lang w:val="en-US" w:eastAsia="zh-CN"/>
        </w:rPr>
        <w:t xml:space="preserve">  </w:t>
      </w:r>
      <w:r>
        <w:rPr>
          <w:rFonts w:hint="eastAsia" w:ascii="方正黑体_GBK" w:hAnsi="方正黑体_GBK" w:eastAsia="方正黑体_GBK" w:cs="方正黑体_GBK"/>
          <w:color w:val="auto"/>
          <w:spacing w:val="-36"/>
          <w:sz w:val="72"/>
          <w:szCs w:val="72"/>
          <w:highlight w:val="none"/>
        </w:rPr>
        <w:t>202</w:t>
      </w:r>
      <w:r>
        <w:rPr>
          <w:rFonts w:hint="eastAsia" w:ascii="方正黑体_GBK" w:hAnsi="方正黑体_GBK" w:eastAsia="方正黑体_GBK" w:cs="方正黑体_GBK"/>
          <w:color w:val="auto"/>
          <w:spacing w:val="-36"/>
          <w:sz w:val="72"/>
          <w:szCs w:val="72"/>
          <w:highlight w:val="none"/>
          <w:lang w:val="en-US" w:eastAsia="zh-CN"/>
        </w:rPr>
        <w:t>5</w:t>
      </w:r>
      <w:r>
        <w:rPr>
          <w:rFonts w:hint="eastAsia" w:ascii="方正黑体_GBK" w:hAnsi="方正黑体_GBK" w:eastAsia="方正黑体_GBK" w:cs="方正黑体_GBK"/>
          <w:color w:val="auto"/>
          <w:spacing w:val="-36"/>
          <w:sz w:val="72"/>
          <w:szCs w:val="72"/>
          <w:highlight w:val="none"/>
        </w:rPr>
        <w:t>年度</w:t>
      </w:r>
      <w:r>
        <w:rPr>
          <w:rFonts w:hint="eastAsia" w:ascii="方正黑体_GBK" w:hAnsi="方正黑体_GBK" w:eastAsia="方正黑体_GBK" w:cs="方正黑体_GBK"/>
          <w:color w:val="auto"/>
          <w:spacing w:val="-36"/>
          <w:sz w:val="72"/>
          <w:szCs w:val="72"/>
          <w:highlight w:val="none"/>
          <w:lang w:eastAsia="zh-CN"/>
        </w:rPr>
        <w:t>经费</w:t>
      </w:r>
      <w:r>
        <w:rPr>
          <w:rFonts w:hint="eastAsia" w:ascii="方正黑体_GBK" w:hAnsi="方正黑体_GBK" w:eastAsia="方正黑体_GBK" w:cs="方正黑体_GBK"/>
          <w:color w:val="auto"/>
          <w:spacing w:val="-36"/>
          <w:sz w:val="72"/>
          <w:szCs w:val="72"/>
          <w:highlight w:val="none"/>
        </w:rPr>
        <w:t>决算表</w:t>
      </w:r>
      <w:bookmarkEnd w:id="10"/>
    </w:p>
    <w:p>
      <w:pPr>
        <w:keepNext w:val="0"/>
        <w:keepLines w:val="0"/>
        <w:pageBreakBefore w:val="0"/>
        <w:widowControl/>
        <w:kinsoku/>
        <w:wordWrap/>
        <w:topLinePunct w:val="0"/>
        <w:bidi w:val="0"/>
        <w:spacing w:line="231" w:lineRule="auto"/>
        <w:rPr>
          <w:rFonts w:hint="default" w:ascii="Times New Roman" w:hAnsi="Times New Roman" w:eastAsia="方正黑体_GBK" w:cs="Times New Roman"/>
          <w:color w:val="auto"/>
          <w:sz w:val="72"/>
          <w:szCs w:val="72"/>
          <w:highlight w:val="none"/>
        </w:rPr>
        <w:sectPr>
          <w:footerReference r:id="rId8" w:type="default"/>
          <w:pgSz w:w="11907" w:h="16839"/>
          <w:pgMar w:top="1431" w:right="0" w:bottom="943" w:left="0" w:header="0" w:footer="676" w:gutter="0"/>
          <w:pgBorders>
            <w:top w:val="none" w:sz="0" w:space="0"/>
            <w:left w:val="none" w:sz="0" w:space="0"/>
            <w:bottom w:val="none" w:sz="0" w:space="0"/>
            <w:right w:val="none" w:sz="0" w:space="0"/>
          </w:pgBorders>
          <w:pgNumType w:fmt="decimal"/>
          <w:cols w:space="720" w:num="1"/>
        </w:sectPr>
      </w:pP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486"/>
        <w:gridCol w:w="575"/>
        <w:gridCol w:w="1013"/>
        <w:gridCol w:w="2737"/>
        <w:gridCol w:w="863"/>
        <w:gridCol w:w="13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999" w:type="dxa"/>
            <w:gridSpan w:val="6"/>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44"/>
                <w:szCs w:val="44"/>
                <w:u w:val="none"/>
              </w:rPr>
            </w:pPr>
            <w:r>
              <w:rPr>
                <w:rFonts w:hint="eastAsia" w:ascii="宋体" w:hAnsi="宋体" w:eastAsia="宋体" w:cs="宋体"/>
                <w:b w:val="0"/>
                <w:bCs w:val="0"/>
                <w:i w:val="0"/>
                <w:iCs w:val="0"/>
                <w:snapToGrid w:val="0"/>
                <w:color w:val="000000"/>
                <w:kern w:val="0"/>
                <w:sz w:val="32"/>
                <w:szCs w:val="32"/>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061" w:type="dxa"/>
            <w:gridSpan w:val="2"/>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1013"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2737"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2188" w:type="dxa"/>
            <w:gridSpan w:val="2"/>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074" w:type="dxa"/>
            <w:gridSpan w:val="3"/>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部门：资兴市消防救援大队</w:t>
            </w:r>
          </w:p>
        </w:tc>
        <w:tc>
          <w:tcPr>
            <w:tcW w:w="2737"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2188" w:type="dxa"/>
            <w:gridSpan w:val="2"/>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407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收入</w:t>
            </w:r>
          </w:p>
        </w:tc>
        <w:tc>
          <w:tcPr>
            <w:tcW w:w="4925" w:type="dxa"/>
            <w:gridSpan w:val="3"/>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48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项目</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行次</w:t>
            </w:r>
          </w:p>
        </w:tc>
        <w:tc>
          <w:tcPr>
            <w:tcW w:w="101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决算数</w:t>
            </w:r>
          </w:p>
        </w:tc>
        <w:tc>
          <w:tcPr>
            <w:tcW w:w="2737"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项目</w:t>
            </w:r>
          </w:p>
        </w:tc>
        <w:tc>
          <w:tcPr>
            <w:tcW w:w="86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行次</w:t>
            </w:r>
          </w:p>
        </w:tc>
        <w:tc>
          <w:tcPr>
            <w:tcW w:w="13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48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栏次</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101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1</w:t>
            </w:r>
          </w:p>
        </w:tc>
        <w:tc>
          <w:tcPr>
            <w:tcW w:w="2737"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栏次</w:t>
            </w:r>
          </w:p>
        </w:tc>
        <w:tc>
          <w:tcPr>
            <w:tcW w:w="86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13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48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一、一般公共预算财政拨款收入</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1</w:t>
            </w:r>
          </w:p>
        </w:tc>
        <w:tc>
          <w:tcPr>
            <w:tcW w:w="101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67.51</w:t>
            </w:r>
          </w:p>
        </w:tc>
        <w:tc>
          <w:tcPr>
            <w:tcW w:w="2737"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 xml:space="preserve"> 一、一般公共服务支出</w:t>
            </w:r>
          </w:p>
        </w:tc>
        <w:tc>
          <w:tcPr>
            <w:tcW w:w="86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31</w:t>
            </w:r>
          </w:p>
        </w:tc>
        <w:tc>
          <w:tcPr>
            <w:tcW w:w="13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48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二、政府性基金预算财政拨款收入</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2</w:t>
            </w:r>
          </w:p>
        </w:tc>
        <w:tc>
          <w:tcPr>
            <w:tcW w:w="101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2737"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 xml:space="preserve"> 二、外交支出 </w:t>
            </w:r>
          </w:p>
        </w:tc>
        <w:tc>
          <w:tcPr>
            <w:tcW w:w="86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32</w:t>
            </w:r>
          </w:p>
        </w:tc>
        <w:tc>
          <w:tcPr>
            <w:tcW w:w="13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48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三、国有资本经营预算财政拨款收入</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3</w:t>
            </w:r>
          </w:p>
        </w:tc>
        <w:tc>
          <w:tcPr>
            <w:tcW w:w="101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2737"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三、国防支出</w:t>
            </w:r>
          </w:p>
        </w:tc>
        <w:tc>
          <w:tcPr>
            <w:tcW w:w="86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33</w:t>
            </w:r>
          </w:p>
        </w:tc>
        <w:tc>
          <w:tcPr>
            <w:tcW w:w="13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48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四、上级补助收入</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4</w:t>
            </w:r>
          </w:p>
        </w:tc>
        <w:tc>
          <w:tcPr>
            <w:tcW w:w="101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2737"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四、公共安全支出</w:t>
            </w:r>
          </w:p>
        </w:tc>
        <w:tc>
          <w:tcPr>
            <w:tcW w:w="86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34</w:t>
            </w:r>
          </w:p>
        </w:tc>
        <w:tc>
          <w:tcPr>
            <w:tcW w:w="13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48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五、事业收入</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5</w:t>
            </w:r>
          </w:p>
        </w:tc>
        <w:tc>
          <w:tcPr>
            <w:tcW w:w="101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2737"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五、教育支出</w:t>
            </w:r>
          </w:p>
        </w:tc>
        <w:tc>
          <w:tcPr>
            <w:tcW w:w="86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35</w:t>
            </w:r>
          </w:p>
        </w:tc>
        <w:tc>
          <w:tcPr>
            <w:tcW w:w="13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48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六、经营收入</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6</w:t>
            </w:r>
          </w:p>
        </w:tc>
        <w:tc>
          <w:tcPr>
            <w:tcW w:w="101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2737"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六、科学技术支出</w:t>
            </w:r>
          </w:p>
        </w:tc>
        <w:tc>
          <w:tcPr>
            <w:tcW w:w="86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36</w:t>
            </w:r>
          </w:p>
        </w:tc>
        <w:tc>
          <w:tcPr>
            <w:tcW w:w="13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48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七、附属单位上缴收入</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7</w:t>
            </w:r>
          </w:p>
        </w:tc>
        <w:tc>
          <w:tcPr>
            <w:tcW w:w="101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2737"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七、文化旅游体育与传媒支出</w:t>
            </w:r>
          </w:p>
        </w:tc>
        <w:tc>
          <w:tcPr>
            <w:tcW w:w="86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37</w:t>
            </w:r>
          </w:p>
        </w:tc>
        <w:tc>
          <w:tcPr>
            <w:tcW w:w="13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48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八、其他收入</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8</w:t>
            </w:r>
          </w:p>
        </w:tc>
        <w:tc>
          <w:tcPr>
            <w:tcW w:w="101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1,379.74</w:t>
            </w:r>
          </w:p>
        </w:tc>
        <w:tc>
          <w:tcPr>
            <w:tcW w:w="2737"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八、社会保障和就业支出</w:t>
            </w:r>
          </w:p>
        </w:tc>
        <w:tc>
          <w:tcPr>
            <w:tcW w:w="86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38</w:t>
            </w:r>
          </w:p>
        </w:tc>
        <w:tc>
          <w:tcPr>
            <w:tcW w:w="13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20.97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48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9</w:t>
            </w:r>
          </w:p>
        </w:tc>
        <w:tc>
          <w:tcPr>
            <w:tcW w:w="101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2737"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九、卫生健康支出</w:t>
            </w:r>
          </w:p>
        </w:tc>
        <w:tc>
          <w:tcPr>
            <w:tcW w:w="86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39</w:t>
            </w:r>
          </w:p>
        </w:tc>
        <w:tc>
          <w:tcPr>
            <w:tcW w:w="13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33.54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8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10</w:t>
            </w:r>
          </w:p>
        </w:tc>
        <w:tc>
          <w:tcPr>
            <w:tcW w:w="101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2737"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十、节能环保支出</w:t>
            </w:r>
          </w:p>
        </w:tc>
        <w:tc>
          <w:tcPr>
            <w:tcW w:w="86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40</w:t>
            </w:r>
          </w:p>
        </w:tc>
        <w:tc>
          <w:tcPr>
            <w:tcW w:w="13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8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11</w:t>
            </w:r>
          </w:p>
        </w:tc>
        <w:tc>
          <w:tcPr>
            <w:tcW w:w="101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2737"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十一、城乡社区支出</w:t>
            </w:r>
          </w:p>
        </w:tc>
        <w:tc>
          <w:tcPr>
            <w:tcW w:w="86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41</w:t>
            </w:r>
          </w:p>
        </w:tc>
        <w:tc>
          <w:tcPr>
            <w:tcW w:w="13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8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12</w:t>
            </w:r>
          </w:p>
        </w:tc>
        <w:tc>
          <w:tcPr>
            <w:tcW w:w="101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2737"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十二、农林水支出</w:t>
            </w:r>
          </w:p>
        </w:tc>
        <w:tc>
          <w:tcPr>
            <w:tcW w:w="86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42</w:t>
            </w:r>
          </w:p>
        </w:tc>
        <w:tc>
          <w:tcPr>
            <w:tcW w:w="13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8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13</w:t>
            </w:r>
          </w:p>
        </w:tc>
        <w:tc>
          <w:tcPr>
            <w:tcW w:w="101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2737"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十三、交通运输支出</w:t>
            </w:r>
          </w:p>
        </w:tc>
        <w:tc>
          <w:tcPr>
            <w:tcW w:w="86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43</w:t>
            </w:r>
          </w:p>
        </w:tc>
        <w:tc>
          <w:tcPr>
            <w:tcW w:w="13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8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14</w:t>
            </w:r>
          </w:p>
        </w:tc>
        <w:tc>
          <w:tcPr>
            <w:tcW w:w="101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2737"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十四、资源勘探工业信息等支出</w:t>
            </w:r>
          </w:p>
        </w:tc>
        <w:tc>
          <w:tcPr>
            <w:tcW w:w="86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44</w:t>
            </w:r>
          </w:p>
        </w:tc>
        <w:tc>
          <w:tcPr>
            <w:tcW w:w="13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8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15</w:t>
            </w:r>
          </w:p>
        </w:tc>
        <w:tc>
          <w:tcPr>
            <w:tcW w:w="101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2737"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十五、商业服务业等支出</w:t>
            </w:r>
          </w:p>
        </w:tc>
        <w:tc>
          <w:tcPr>
            <w:tcW w:w="86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45</w:t>
            </w:r>
          </w:p>
        </w:tc>
        <w:tc>
          <w:tcPr>
            <w:tcW w:w="13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8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16</w:t>
            </w:r>
          </w:p>
        </w:tc>
        <w:tc>
          <w:tcPr>
            <w:tcW w:w="101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2737"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十六、金融支出</w:t>
            </w:r>
          </w:p>
        </w:tc>
        <w:tc>
          <w:tcPr>
            <w:tcW w:w="86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46</w:t>
            </w:r>
          </w:p>
        </w:tc>
        <w:tc>
          <w:tcPr>
            <w:tcW w:w="13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8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17</w:t>
            </w:r>
          </w:p>
        </w:tc>
        <w:tc>
          <w:tcPr>
            <w:tcW w:w="101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2737"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十七、援助其他地区支出</w:t>
            </w:r>
          </w:p>
        </w:tc>
        <w:tc>
          <w:tcPr>
            <w:tcW w:w="86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47</w:t>
            </w:r>
          </w:p>
        </w:tc>
        <w:tc>
          <w:tcPr>
            <w:tcW w:w="13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8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18</w:t>
            </w:r>
          </w:p>
        </w:tc>
        <w:tc>
          <w:tcPr>
            <w:tcW w:w="101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2737"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十八、自然资源海洋气象等支出</w:t>
            </w:r>
          </w:p>
        </w:tc>
        <w:tc>
          <w:tcPr>
            <w:tcW w:w="86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48</w:t>
            </w:r>
          </w:p>
        </w:tc>
        <w:tc>
          <w:tcPr>
            <w:tcW w:w="13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8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19</w:t>
            </w:r>
          </w:p>
        </w:tc>
        <w:tc>
          <w:tcPr>
            <w:tcW w:w="101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2737"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十九、住房保障支出</w:t>
            </w:r>
          </w:p>
        </w:tc>
        <w:tc>
          <w:tcPr>
            <w:tcW w:w="86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49</w:t>
            </w:r>
          </w:p>
        </w:tc>
        <w:tc>
          <w:tcPr>
            <w:tcW w:w="13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13.79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8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20</w:t>
            </w:r>
          </w:p>
        </w:tc>
        <w:tc>
          <w:tcPr>
            <w:tcW w:w="101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2737"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二十、粮油物资储备支出</w:t>
            </w:r>
          </w:p>
        </w:tc>
        <w:tc>
          <w:tcPr>
            <w:tcW w:w="86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50</w:t>
            </w:r>
          </w:p>
        </w:tc>
        <w:tc>
          <w:tcPr>
            <w:tcW w:w="13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8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21</w:t>
            </w:r>
          </w:p>
        </w:tc>
        <w:tc>
          <w:tcPr>
            <w:tcW w:w="101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2737"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二十一、国有资本经营预算支出</w:t>
            </w:r>
          </w:p>
        </w:tc>
        <w:tc>
          <w:tcPr>
            <w:tcW w:w="86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51</w:t>
            </w:r>
          </w:p>
        </w:tc>
        <w:tc>
          <w:tcPr>
            <w:tcW w:w="13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8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22</w:t>
            </w:r>
          </w:p>
        </w:tc>
        <w:tc>
          <w:tcPr>
            <w:tcW w:w="101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2737"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二十二、灾害防治及应急管理支出</w:t>
            </w:r>
          </w:p>
        </w:tc>
        <w:tc>
          <w:tcPr>
            <w:tcW w:w="86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52</w:t>
            </w:r>
          </w:p>
        </w:tc>
        <w:tc>
          <w:tcPr>
            <w:tcW w:w="13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1,327.50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8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23</w:t>
            </w:r>
          </w:p>
        </w:tc>
        <w:tc>
          <w:tcPr>
            <w:tcW w:w="101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2737"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二十三、其他支出</w:t>
            </w:r>
          </w:p>
        </w:tc>
        <w:tc>
          <w:tcPr>
            <w:tcW w:w="86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53</w:t>
            </w:r>
          </w:p>
        </w:tc>
        <w:tc>
          <w:tcPr>
            <w:tcW w:w="13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8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24</w:t>
            </w:r>
          </w:p>
        </w:tc>
        <w:tc>
          <w:tcPr>
            <w:tcW w:w="101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2737"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二十四、债务还本支出</w:t>
            </w:r>
          </w:p>
        </w:tc>
        <w:tc>
          <w:tcPr>
            <w:tcW w:w="86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54</w:t>
            </w:r>
          </w:p>
        </w:tc>
        <w:tc>
          <w:tcPr>
            <w:tcW w:w="13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8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25</w:t>
            </w:r>
          </w:p>
        </w:tc>
        <w:tc>
          <w:tcPr>
            <w:tcW w:w="101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2737"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二十五、债务付息支出</w:t>
            </w:r>
          </w:p>
        </w:tc>
        <w:tc>
          <w:tcPr>
            <w:tcW w:w="86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55</w:t>
            </w:r>
          </w:p>
        </w:tc>
        <w:tc>
          <w:tcPr>
            <w:tcW w:w="13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8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26</w:t>
            </w:r>
          </w:p>
        </w:tc>
        <w:tc>
          <w:tcPr>
            <w:tcW w:w="101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2737"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二十六、抗疫特别国债安排的支出</w:t>
            </w:r>
          </w:p>
        </w:tc>
        <w:tc>
          <w:tcPr>
            <w:tcW w:w="86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56</w:t>
            </w:r>
          </w:p>
        </w:tc>
        <w:tc>
          <w:tcPr>
            <w:tcW w:w="13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48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本年收入合计</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27</w:t>
            </w:r>
          </w:p>
        </w:tc>
        <w:tc>
          <w:tcPr>
            <w:tcW w:w="101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1,447.25</w:t>
            </w:r>
          </w:p>
        </w:tc>
        <w:tc>
          <w:tcPr>
            <w:tcW w:w="2737"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本年支出合计</w:t>
            </w:r>
          </w:p>
        </w:tc>
        <w:tc>
          <w:tcPr>
            <w:tcW w:w="86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57</w:t>
            </w:r>
          </w:p>
        </w:tc>
        <w:tc>
          <w:tcPr>
            <w:tcW w:w="13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1,395.79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48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 xml:space="preserve">   使用非财政拨款结余（含专用结余）</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28</w:t>
            </w:r>
          </w:p>
        </w:tc>
        <w:tc>
          <w:tcPr>
            <w:tcW w:w="101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2737"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 xml:space="preserve">    结余分配</w:t>
            </w:r>
          </w:p>
        </w:tc>
        <w:tc>
          <w:tcPr>
            <w:tcW w:w="86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58</w:t>
            </w:r>
          </w:p>
        </w:tc>
        <w:tc>
          <w:tcPr>
            <w:tcW w:w="13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48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 xml:space="preserve">   年初结转和结余 </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29</w:t>
            </w:r>
          </w:p>
        </w:tc>
        <w:tc>
          <w:tcPr>
            <w:tcW w:w="101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495.91</w:t>
            </w:r>
          </w:p>
        </w:tc>
        <w:tc>
          <w:tcPr>
            <w:tcW w:w="2737"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 xml:space="preserve">    年末结转和结余 </w:t>
            </w:r>
          </w:p>
        </w:tc>
        <w:tc>
          <w:tcPr>
            <w:tcW w:w="86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59</w:t>
            </w:r>
          </w:p>
        </w:tc>
        <w:tc>
          <w:tcPr>
            <w:tcW w:w="13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547.37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8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b/>
                <w:bCs/>
                <w:i w:val="0"/>
                <w:iCs w:val="0"/>
                <w:snapToGrid w:val="0"/>
                <w:color w:val="000000"/>
                <w:kern w:val="0"/>
                <w:sz w:val="16"/>
                <w:szCs w:val="16"/>
                <w:u w:val="none"/>
                <w:lang w:val="en-US" w:eastAsia="zh-CN" w:bidi="ar"/>
              </w:rPr>
            </w:pPr>
            <w:r>
              <w:rPr>
                <w:rFonts w:hint="eastAsia" w:ascii="宋体" w:hAnsi="宋体" w:eastAsia="宋体" w:cs="宋体"/>
                <w:b/>
                <w:bCs/>
                <w:i w:val="0"/>
                <w:iCs w:val="0"/>
                <w:snapToGrid w:val="0"/>
                <w:color w:val="000000"/>
                <w:kern w:val="0"/>
                <w:sz w:val="16"/>
                <w:szCs w:val="16"/>
                <w:u w:val="none"/>
                <w:lang w:val="en-US" w:eastAsia="zh-CN" w:bidi="ar"/>
              </w:rPr>
              <w:t>总计</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b/>
                <w:bCs/>
                <w:i w:val="0"/>
                <w:iCs w:val="0"/>
                <w:snapToGrid w:val="0"/>
                <w:color w:val="000000"/>
                <w:kern w:val="0"/>
                <w:sz w:val="16"/>
                <w:szCs w:val="16"/>
                <w:u w:val="none"/>
                <w:lang w:val="en-US" w:eastAsia="zh-CN" w:bidi="ar"/>
              </w:rPr>
            </w:pPr>
            <w:r>
              <w:rPr>
                <w:rFonts w:hint="eastAsia" w:ascii="宋体" w:hAnsi="宋体" w:eastAsia="宋体" w:cs="宋体"/>
                <w:b/>
                <w:bCs/>
                <w:i w:val="0"/>
                <w:iCs w:val="0"/>
                <w:snapToGrid w:val="0"/>
                <w:color w:val="000000"/>
                <w:kern w:val="0"/>
                <w:sz w:val="16"/>
                <w:szCs w:val="16"/>
                <w:u w:val="none"/>
                <w:lang w:val="en-US" w:eastAsia="zh-CN" w:bidi="ar"/>
              </w:rPr>
              <w:t>30</w:t>
            </w:r>
          </w:p>
        </w:tc>
        <w:tc>
          <w:tcPr>
            <w:tcW w:w="101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b/>
                <w:bCs/>
                <w:i w:val="0"/>
                <w:iCs w:val="0"/>
                <w:snapToGrid w:val="0"/>
                <w:color w:val="000000"/>
                <w:kern w:val="0"/>
                <w:sz w:val="16"/>
                <w:szCs w:val="16"/>
                <w:u w:val="none"/>
                <w:lang w:val="en-US" w:eastAsia="zh-CN" w:bidi="ar"/>
              </w:rPr>
            </w:pPr>
            <w:r>
              <w:rPr>
                <w:rFonts w:hint="eastAsia" w:ascii="宋体" w:hAnsi="宋体" w:eastAsia="宋体" w:cs="宋体"/>
                <w:b/>
                <w:bCs/>
                <w:i w:val="0"/>
                <w:iCs w:val="0"/>
                <w:snapToGrid w:val="0"/>
                <w:color w:val="000000"/>
                <w:kern w:val="0"/>
                <w:sz w:val="16"/>
                <w:szCs w:val="16"/>
                <w:u w:val="none"/>
                <w:lang w:val="en-US" w:eastAsia="zh-CN" w:bidi="ar"/>
              </w:rPr>
              <w:t>1,943.17</w:t>
            </w:r>
          </w:p>
        </w:tc>
        <w:tc>
          <w:tcPr>
            <w:tcW w:w="2737"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b/>
                <w:bCs/>
                <w:i w:val="0"/>
                <w:iCs w:val="0"/>
                <w:snapToGrid w:val="0"/>
                <w:color w:val="000000"/>
                <w:kern w:val="0"/>
                <w:sz w:val="16"/>
                <w:szCs w:val="16"/>
                <w:u w:val="none"/>
                <w:lang w:val="en-US" w:eastAsia="zh-CN" w:bidi="ar"/>
              </w:rPr>
            </w:pPr>
            <w:r>
              <w:rPr>
                <w:rFonts w:hint="eastAsia" w:ascii="宋体" w:hAnsi="宋体" w:eastAsia="宋体" w:cs="宋体"/>
                <w:b/>
                <w:bCs/>
                <w:i w:val="0"/>
                <w:iCs w:val="0"/>
                <w:snapToGrid w:val="0"/>
                <w:color w:val="000000"/>
                <w:kern w:val="0"/>
                <w:sz w:val="16"/>
                <w:szCs w:val="16"/>
                <w:u w:val="none"/>
                <w:lang w:val="en-US" w:eastAsia="zh-CN" w:bidi="ar"/>
              </w:rPr>
              <w:t>总计</w:t>
            </w:r>
          </w:p>
        </w:tc>
        <w:tc>
          <w:tcPr>
            <w:tcW w:w="86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b/>
                <w:bCs/>
                <w:i w:val="0"/>
                <w:iCs w:val="0"/>
                <w:snapToGrid w:val="0"/>
                <w:color w:val="000000"/>
                <w:kern w:val="0"/>
                <w:sz w:val="16"/>
                <w:szCs w:val="16"/>
                <w:u w:val="none"/>
                <w:lang w:val="en-US" w:eastAsia="zh-CN" w:bidi="ar"/>
              </w:rPr>
            </w:pPr>
            <w:r>
              <w:rPr>
                <w:rFonts w:hint="eastAsia" w:ascii="宋体" w:hAnsi="宋体" w:eastAsia="宋体" w:cs="宋体"/>
                <w:b/>
                <w:bCs/>
                <w:i w:val="0"/>
                <w:iCs w:val="0"/>
                <w:snapToGrid w:val="0"/>
                <w:color w:val="000000"/>
                <w:kern w:val="0"/>
                <w:sz w:val="16"/>
                <w:szCs w:val="16"/>
                <w:u w:val="none"/>
                <w:lang w:val="en-US" w:eastAsia="zh-CN" w:bidi="ar"/>
              </w:rPr>
              <w:t>60</w:t>
            </w:r>
          </w:p>
        </w:tc>
        <w:tc>
          <w:tcPr>
            <w:tcW w:w="13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b/>
                <w:bCs/>
                <w:i w:val="0"/>
                <w:iCs w:val="0"/>
                <w:snapToGrid w:val="0"/>
                <w:color w:val="000000"/>
                <w:kern w:val="0"/>
                <w:sz w:val="16"/>
                <w:szCs w:val="16"/>
                <w:u w:val="none"/>
                <w:lang w:val="en-US" w:eastAsia="zh-CN" w:bidi="ar"/>
              </w:rPr>
            </w:pPr>
            <w:r>
              <w:rPr>
                <w:rFonts w:hint="eastAsia" w:ascii="宋体" w:hAnsi="宋体" w:eastAsia="宋体" w:cs="宋体"/>
                <w:b/>
                <w:bCs/>
                <w:i w:val="0"/>
                <w:iCs w:val="0"/>
                <w:snapToGrid w:val="0"/>
                <w:color w:val="000000"/>
                <w:kern w:val="0"/>
                <w:sz w:val="16"/>
                <w:szCs w:val="16"/>
                <w:u w:val="none"/>
                <w:lang w:val="en-US" w:eastAsia="zh-CN" w:bidi="ar"/>
              </w:rPr>
              <w:t>1,943.17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99" w:type="dxa"/>
            <w:gridSpan w:val="6"/>
            <w:tcBorders>
              <w:top w:val="nil"/>
              <w:left w:val="nil"/>
              <w:bottom w:val="nil"/>
              <w:right w:val="nil"/>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注：1.本表反映部门本年度的总收支和年末结转结余情况。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999" w:type="dxa"/>
            <w:gridSpan w:val="6"/>
            <w:tcBorders>
              <w:top w:val="nil"/>
              <w:left w:val="nil"/>
              <w:bottom w:val="nil"/>
              <w:right w:val="nil"/>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2.本套报表金额单位转换时可能存在尾数误差。</w:t>
            </w:r>
          </w:p>
        </w:tc>
      </w:tr>
    </w:tbl>
    <w:p>
      <w:pPr>
        <w:keepNext w:val="0"/>
        <w:keepLines w:val="0"/>
        <w:pageBreakBefore w:val="0"/>
        <w:widowControl/>
        <w:kinsoku/>
        <w:wordWrap/>
        <w:topLinePunct w:val="0"/>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pPr>
        <w:keepNext w:val="0"/>
        <w:keepLines w:val="0"/>
        <w:pageBreakBefore w:val="0"/>
        <w:widowControl/>
        <w:tabs>
          <w:tab w:val="left" w:pos="3808"/>
        </w:tabs>
        <w:kinsoku/>
        <w:wordWrap/>
        <w:topLinePunct w:val="0"/>
        <w:bidi w:val="0"/>
        <w:spacing w:before="4"/>
        <w:rPr>
          <w:rFonts w:hint="default" w:ascii="Times New Roman" w:hAnsi="Times New Roman" w:eastAsia="宋体" w:cs="Times New Roman"/>
          <w:b/>
          <w:bCs/>
          <w:color w:val="auto"/>
          <w:highlight w:val="none"/>
          <w:lang w:eastAsia="zh-CN"/>
        </w:rPr>
      </w:pPr>
      <w:r>
        <w:rPr>
          <w:rFonts w:hint="default" w:ascii="Times New Roman" w:hAnsi="Times New Roman" w:eastAsia="宋体" w:cs="Times New Roman"/>
          <w:color w:val="auto"/>
          <w:highlight w:val="none"/>
          <w:lang w:eastAsia="zh-CN"/>
        </w:rPr>
        <w:tab/>
      </w:r>
    </w:p>
    <w:tbl>
      <w:tblPr>
        <w:tblStyle w:val="11"/>
        <w:tblW w:w="89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0"/>
        <w:gridCol w:w="2074"/>
        <w:gridCol w:w="913"/>
        <w:gridCol w:w="913"/>
        <w:gridCol w:w="913"/>
        <w:gridCol w:w="680"/>
        <w:gridCol w:w="680"/>
        <w:gridCol w:w="1145"/>
        <w:gridCol w:w="9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970" w:type="dxa"/>
            <w:gridSpan w:val="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val="0"/>
                <w:bCs w:val="0"/>
                <w:i w:val="0"/>
                <w:iCs w:val="0"/>
                <w:snapToGrid w:val="0"/>
                <w:color w:val="000000"/>
                <w:kern w:val="0"/>
                <w:sz w:val="32"/>
                <w:szCs w:val="32"/>
                <w:u w:val="none"/>
                <w:lang w:val="en-US" w:eastAsia="zh-CN" w:bidi="ar"/>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2074"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913"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913"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913"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68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68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1145"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972"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580" w:type="dxa"/>
            <w:gridSpan w:val="4"/>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部门：资兴市消防救援大队</w:t>
            </w:r>
          </w:p>
        </w:tc>
        <w:tc>
          <w:tcPr>
            <w:tcW w:w="913"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68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68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2117" w:type="dxa"/>
            <w:gridSpan w:val="2"/>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项目</w:t>
            </w:r>
          </w:p>
        </w:tc>
        <w:tc>
          <w:tcPr>
            <w:tcW w:w="913"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本年收入合计</w:t>
            </w:r>
          </w:p>
        </w:tc>
        <w:tc>
          <w:tcPr>
            <w:tcW w:w="913"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财政拨款收入 </w:t>
            </w:r>
          </w:p>
        </w:tc>
        <w:tc>
          <w:tcPr>
            <w:tcW w:w="913"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上级补助收入</w:t>
            </w:r>
          </w:p>
        </w:tc>
        <w:tc>
          <w:tcPr>
            <w:tcW w:w="680"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事业收入</w:t>
            </w:r>
          </w:p>
        </w:tc>
        <w:tc>
          <w:tcPr>
            <w:tcW w:w="680"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经营收入</w:t>
            </w:r>
          </w:p>
        </w:tc>
        <w:tc>
          <w:tcPr>
            <w:tcW w:w="1145"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附属单位上缴收入</w:t>
            </w:r>
          </w:p>
        </w:tc>
        <w:tc>
          <w:tcPr>
            <w:tcW w:w="972"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80" w:type="dxa"/>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科目代码</w:t>
            </w:r>
          </w:p>
        </w:tc>
        <w:tc>
          <w:tcPr>
            <w:tcW w:w="2074" w:type="dxa"/>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科目名称</w:t>
            </w:r>
          </w:p>
        </w:tc>
        <w:tc>
          <w:tcPr>
            <w:tcW w:w="913" w:type="dxa"/>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913" w:type="dxa"/>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913" w:type="dxa"/>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680" w:type="dxa"/>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680" w:type="dxa"/>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1145" w:type="dxa"/>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972" w:type="dxa"/>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80" w:type="dxa"/>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2074" w:type="dxa"/>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913" w:type="dxa"/>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913" w:type="dxa"/>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913" w:type="dxa"/>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680" w:type="dxa"/>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680" w:type="dxa"/>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1145" w:type="dxa"/>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972" w:type="dxa"/>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54" w:type="dxa"/>
            <w:gridSpan w:val="2"/>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栏次</w:t>
            </w:r>
          </w:p>
        </w:tc>
        <w:tc>
          <w:tcPr>
            <w:tcW w:w="91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w:t>
            </w:r>
          </w:p>
        </w:tc>
        <w:tc>
          <w:tcPr>
            <w:tcW w:w="91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w:t>
            </w:r>
          </w:p>
        </w:tc>
        <w:tc>
          <w:tcPr>
            <w:tcW w:w="91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3</w:t>
            </w: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4</w:t>
            </w: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5</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6</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54" w:type="dxa"/>
            <w:gridSpan w:val="2"/>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合计</w:t>
            </w:r>
          </w:p>
        </w:tc>
        <w:tc>
          <w:tcPr>
            <w:tcW w:w="91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1,447.25</w:t>
            </w:r>
          </w:p>
        </w:tc>
        <w:tc>
          <w:tcPr>
            <w:tcW w:w="91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67.51</w:t>
            </w:r>
          </w:p>
        </w:tc>
        <w:tc>
          <w:tcPr>
            <w:tcW w:w="91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6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6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11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1,379.74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8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208</w:t>
            </w:r>
          </w:p>
        </w:tc>
        <w:tc>
          <w:tcPr>
            <w:tcW w:w="207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社会保障和就业支出</w:t>
            </w:r>
          </w:p>
        </w:tc>
        <w:tc>
          <w:tcPr>
            <w:tcW w:w="91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 xml:space="preserve">23.76 </w:t>
            </w:r>
          </w:p>
        </w:tc>
        <w:tc>
          <w:tcPr>
            <w:tcW w:w="91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91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6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6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11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 xml:space="preserve">23.76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8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20805</w:t>
            </w:r>
          </w:p>
        </w:tc>
        <w:tc>
          <w:tcPr>
            <w:tcW w:w="207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行政事业单位养老支出</w:t>
            </w:r>
          </w:p>
        </w:tc>
        <w:tc>
          <w:tcPr>
            <w:tcW w:w="91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23.76 </w:t>
            </w:r>
          </w:p>
        </w:tc>
        <w:tc>
          <w:tcPr>
            <w:tcW w:w="91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23.76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8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2080505</w:t>
            </w:r>
          </w:p>
        </w:tc>
        <w:tc>
          <w:tcPr>
            <w:tcW w:w="207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机关事业单位基本养老保险缴费支出</w:t>
            </w:r>
          </w:p>
        </w:tc>
        <w:tc>
          <w:tcPr>
            <w:tcW w:w="91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15.84 </w:t>
            </w:r>
          </w:p>
        </w:tc>
        <w:tc>
          <w:tcPr>
            <w:tcW w:w="91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15.84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8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2080506</w:t>
            </w:r>
          </w:p>
        </w:tc>
        <w:tc>
          <w:tcPr>
            <w:tcW w:w="207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机关事业单位职业年金缴费支出</w:t>
            </w:r>
          </w:p>
        </w:tc>
        <w:tc>
          <w:tcPr>
            <w:tcW w:w="91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7.92 </w:t>
            </w:r>
          </w:p>
        </w:tc>
        <w:tc>
          <w:tcPr>
            <w:tcW w:w="91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7.92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8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210</w:t>
            </w:r>
          </w:p>
        </w:tc>
        <w:tc>
          <w:tcPr>
            <w:tcW w:w="207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卫生健康支出</w:t>
            </w:r>
          </w:p>
        </w:tc>
        <w:tc>
          <w:tcPr>
            <w:tcW w:w="91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 xml:space="preserve">34.81 </w:t>
            </w:r>
          </w:p>
        </w:tc>
        <w:tc>
          <w:tcPr>
            <w:tcW w:w="91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91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6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6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11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 xml:space="preserve">34.81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8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21011</w:t>
            </w:r>
          </w:p>
        </w:tc>
        <w:tc>
          <w:tcPr>
            <w:tcW w:w="207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行政事业单位医疗</w:t>
            </w:r>
          </w:p>
        </w:tc>
        <w:tc>
          <w:tcPr>
            <w:tcW w:w="91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34.81 </w:t>
            </w:r>
          </w:p>
        </w:tc>
        <w:tc>
          <w:tcPr>
            <w:tcW w:w="91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34.81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8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2101101</w:t>
            </w:r>
          </w:p>
        </w:tc>
        <w:tc>
          <w:tcPr>
            <w:tcW w:w="207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行政单位医疗</w:t>
            </w:r>
          </w:p>
        </w:tc>
        <w:tc>
          <w:tcPr>
            <w:tcW w:w="91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32.81 </w:t>
            </w:r>
          </w:p>
        </w:tc>
        <w:tc>
          <w:tcPr>
            <w:tcW w:w="91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32.81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8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2101199</w:t>
            </w:r>
          </w:p>
        </w:tc>
        <w:tc>
          <w:tcPr>
            <w:tcW w:w="207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其他行政事业单位医疗支出</w:t>
            </w:r>
          </w:p>
        </w:tc>
        <w:tc>
          <w:tcPr>
            <w:tcW w:w="91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2.00 </w:t>
            </w:r>
          </w:p>
        </w:tc>
        <w:tc>
          <w:tcPr>
            <w:tcW w:w="91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8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221</w:t>
            </w:r>
          </w:p>
        </w:tc>
        <w:tc>
          <w:tcPr>
            <w:tcW w:w="207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住房保障支出</w:t>
            </w:r>
          </w:p>
        </w:tc>
        <w:tc>
          <w:tcPr>
            <w:tcW w:w="91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 xml:space="preserve">18.61 </w:t>
            </w:r>
          </w:p>
        </w:tc>
        <w:tc>
          <w:tcPr>
            <w:tcW w:w="91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91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6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6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11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 xml:space="preserve">18.61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8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22102</w:t>
            </w:r>
          </w:p>
        </w:tc>
        <w:tc>
          <w:tcPr>
            <w:tcW w:w="207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住房改革支出</w:t>
            </w:r>
          </w:p>
        </w:tc>
        <w:tc>
          <w:tcPr>
            <w:tcW w:w="91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18.61 </w:t>
            </w:r>
          </w:p>
        </w:tc>
        <w:tc>
          <w:tcPr>
            <w:tcW w:w="91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18.61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8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2210201</w:t>
            </w:r>
          </w:p>
        </w:tc>
        <w:tc>
          <w:tcPr>
            <w:tcW w:w="207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住房公积金</w:t>
            </w:r>
          </w:p>
        </w:tc>
        <w:tc>
          <w:tcPr>
            <w:tcW w:w="91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18.61 </w:t>
            </w:r>
          </w:p>
        </w:tc>
        <w:tc>
          <w:tcPr>
            <w:tcW w:w="91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18.61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8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224</w:t>
            </w:r>
          </w:p>
        </w:tc>
        <w:tc>
          <w:tcPr>
            <w:tcW w:w="207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灾害防治及应急管理支出</w:t>
            </w:r>
          </w:p>
        </w:tc>
        <w:tc>
          <w:tcPr>
            <w:tcW w:w="91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 xml:space="preserve">1,370.07 </w:t>
            </w:r>
          </w:p>
        </w:tc>
        <w:tc>
          <w:tcPr>
            <w:tcW w:w="91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 xml:space="preserve">67.51 </w:t>
            </w:r>
          </w:p>
        </w:tc>
        <w:tc>
          <w:tcPr>
            <w:tcW w:w="91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6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6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11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 xml:space="preserve">1,302.56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8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22402</w:t>
            </w:r>
          </w:p>
        </w:tc>
        <w:tc>
          <w:tcPr>
            <w:tcW w:w="207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消防救援事务</w:t>
            </w:r>
          </w:p>
        </w:tc>
        <w:tc>
          <w:tcPr>
            <w:tcW w:w="91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1,370.07 </w:t>
            </w:r>
          </w:p>
        </w:tc>
        <w:tc>
          <w:tcPr>
            <w:tcW w:w="91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67.51 </w:t>
            </w:r>
          </w:p>
        </w:tc>
        <w:tc>
          <w:tcPr>
            <w:tcW w:w="91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1,302.56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8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2240201</w:t>
            </w:r>
          </w:p>
        </w:tc>
        <w:tc>
          <w:tcPr>
            <w:tcW w:w="207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行政运行</w:t>
            </w:r>
          </w:p>
        </w:tc>
        <w:tc>
          <w:tcPr>
            <w:tcW w:w="91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582.65 </w:t>
            </w:r>
          </w:p>
        </w:tc>
        <w:tc>
          <w:tcPr>
            <w:tcW w:w="91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22.50 </w:t>
            </w:r>
          </w:p>
        </w:tc>
        <w:tc>
          <w:tcPr>
            <w:tcW w:w="91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560.15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8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2240204</w:t>
            </w:r>
          </w:p>
        </w:tc>
        <w:tc>
          <w:tcPr>
            <w:tcW w:w="207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消防应急救援</w:t>
            </w:r>
          </w:p>
        </w:tc>
        <w:tc>
          <w:tcPr>
            <w:tcW w:w="91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787.42 </w:t>
            </w:r>
          </w:p>
        </w:tc>
        <w:tc>
          <w:tcPr>
            <w:tcW w:w="91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45.01 </w:t>
            </w:r>
          </w:p>
        </w:tc>
        <w:tc>
          <w:tcPr>
            <w:tcW w:w="91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742.41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70" w:type="dxa"/>
            <w:gridSpan w:val="9"/>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注：本表反映部门本年度取得的各项收入情况。</w:t>
            </w:r>
          </w:p>
        </w:tc>
      </w:tr>
    </w:tbl>
    <w:p>
      <w:pPr>
        <w:keepNext w:val="0"/>
        <w:keepLines w:val="0"/>
        <w:pageBreakBefore w:val="0"/>
        <w:widowControl/>
        <w:tabs>
          <w:tab w:val="left" w:pos="3808"/>
        </w:tabs>
        <w:kinsoku/>
        <w:wordWrap/>
        <w:topLinePunct w:val="0"/>
        <w:bidi w:val="0"/>
        <w:spacing w:before="4"/>
        <w:rPr>
          <w:rFonts w:hint="default" w:ascii="Times New Roman" w:hAnsi="Times New Roman" w:eastAsia="宋体" w:cs="Times New Roman"/>
          <w:color w:val="auto"/>
          <w:highlight w:val="none"/>
          <w:lang w:eastAsia="zh-CN"/>
        </w:rPr>
      </w:pPr>
    </w:p>
    <w:p>
      <w:pPr>
        <w:keepNext w:val="0"/>
        <w:keepLines w:val="0"/>
        <w:pageBreakBefore w:val="0"/>
        <w:widowControl/>
        <w:tabs>
          <w:tab w:val="left" w:pos="3808"/>
        </w:tabs>
        <w:kinsoku/>
        <w:wordWrap/>
        <w:topLinePunct w:val="0"/>
        <w:bidi w:val="0"/>
        <w:spacing w:before="4"/>
        <w:rPr>
          <w:rFonts w:hint="default" w:ascii="Times New Roman" w:hAnsi="Times New Roman" w:eastAsia="宋体" w:cs="Times New Roman"/>
          <w:color w:val="auto"/>
          <w:highlight w:val="none"/>
          <w:lang w:eastAsia="zh-CN"/>
        </w:rPr>
      </w:pPr>
    </w:p>
    <w:p>
      <w:pPr>
        <w:keepNext w:val="0"/>
        <w:keepLines w:val="0"/>
        <w:pageBreakBefore w:val="0"/>
        <w:widowControl/>
        <w:tabs>
          <w:tab w:val="left" w:pos="3808"/>
        </w:tabs>
        <w:kinsoku/>
        <w:wordWrap/>
        <w:topLinePunct w:val="0"/>
        <w:bidi w:val="0"/>
        <w:spacing w:before="4"/>
        <w:rPr>
          <w:rFonts w:hint="default" w:ascii="Times New Roman" w:hAnsi="Times New Roman" w:eastAsia="宋体" w:cs="Times New Roman"/>
          <w:color w:val="auto"/>
          <w:highlight w:val="none"/>
          <w:lang w:eastAsia="zh-CN"/>
        </w:rPr>
      </w:pPr>
    </w:p>
    <w:p>
      <w:pPr>
        <w:keepNext w:val="0"/>
        <w:keepLines w:val="0"/>
        <w:pageBreakBefore w:val="0"/>
        <w:widowControl/>
        <w:tabs>
          <w:tab w:val="left" w:pos="3808"/>
        </w:tabs>
        <w:kinsoku/>
        <w:wordWrap/>
        <w:topLinePunct w:val="0"/>
        <w:bidi w:val="0"/>
        <w:spacing w:before="4"/>
        <w:rPr>
          <w:rFonts w:hint="default" w:ascii="Times New Roman" w:hAnsi="Times New Roman" w:eastAsia="宋体" w:cs="Times New Roman"/>
          <w:color w:val="auto"/>
          <w:highlight w:val="none"/>
          <w:lang w:eastAsia="zh-CN"/>
        </w:rPr>
      </w:pPr>
    </w:p>
    <w:p>
      <w:pPr>
        <w:keepNext w:val="0"/>
        <w:keepLines w:val="0"/>
        <w:pageBreakBefore w:val="0"/>
        <w:widowControl/>
        <w:tabs>
          <w:tab w:val="left" w:pos="3808"/>
        </w:tabs>
        <w:kinsoku/>
        <w:wordWrap/>
        <w:topLinePunct w:val="0"/>
        <w:bidi w:val="0"/>
        <w:spacing w:before="4"/>
        <w:rPr>
          <w:rFonts w:hint="default" w:ascii="Times New Roman" w:hAnsi="Times New Roman" w:eastAsia="宋体" w:cs="Times New Roman"/>
          <w:color w:val="auto"/>
          <w:highlight w:val="none"/>
          <w:lang w:eastAsia="zh-CN"/>
        </w:rPr>
      </w:pPr>
    </w:p>
    <w:p>
      <w:pPr>
        <w:keepNext w:val="0"/>
        <w:keepLines w:val="0"/>
        <w:pageBreakBefore w:val="0"/>
        <w:widowControl/>
        <w:tabs>
          <w:tab w:val="left" w:pos="3808"/>
        </w:tabs>
        <w:kinsoku/>
        <w:wordWrap/>
        <w:topLinePunct w:val="0"/>
        <w:bidi w:val="0"/>
        <w:spacing w:before="4"/>
        <w:rPr>
          <w:rFonts w:hint="default" w:ascii="Times New Roman" w:hAnsi="Times New Roman" w:eastAsia="宋体" w:cs="Times New Roman"/>
          <w:color w:val="auto"/>
          <w:highlight w:val="none"/>
          <w:lang w:eastAsia="zh-CN"/>
        </w:rPr>
      </w:pPr>
    </w:p>
    <w:p>
      <w:pPr>
        <w:keepNext w:val="0"/>
        <w:keepLines w:val="0"/>
        <w:pageBreakBefore w:val="0"/>
        <w:widowControl/>
        <w:tabs>
          <w:tab w:val="left" w:pos="3808"/>
        </w:tabs>
        <w:kinsoku/>
        <w:wordWrap/>
        <w:topLinePunct w:val="0"/>
        <w:bidi w:val="0"/>
        <w:spacing w:before="4"/>
        <w:rPr>
          <w:rFonts w:hint="default" w:ascii="Times New Roman" w:hAnsi="Times New Roman" w:eastAsia="宋体" w:cs="Times New Roman"/>
          <w:color w:val="auto"/>
          <w:highlight w:val="none"/>
          <w:lang w:eastAsia="zh-CN"/>
        </w:rPr>
      </w:pPr>
    </w:p>
    <w:p>
      <w:pPr>
        <w:keepNext w:val="0"/>
        <w:keepLines w:val="0"/>
        <w:pageBreakBefore w:val="0"/>
        <w:widowControl/>
        <w:tabs>
          <w:tab w:val="left" w:pos="3808"/>
        </w:tabs>
        <w:kinsoku/>
        <w:wordWrap/>
        <w:topLinePunct w:val="0"/>
        <w:bidi w:val="0"/>
        <w:spacing w:before="4"/>
        <w:rPr>
          <w:rFonts w:hint="default" w:ascii="Times New Roman" w:hAnsi="Times New Roman" w:eastAsia="宋体" w:cs="Times New Roman"/>
          <w:color w:val="auto"/>
          <w:highlight w:val="none"/>
          <w:lang w:eastAsia="zh-CN"/>
        </w:rPr>
      </w:pPr>
    </w:p>
    <w:p>
      <w:pPr>
        <w:keepNext w:val="0"/>
        <w:keepLines w:val="0"/>
        <w:pageBreakBefore w:val="0"/>
        <w:widowControl/>
        <w:tabs>
          <w:tab w:val="left" w:pos="3808"/>
        </w:tabs>
        <w:kinsoku/>
        <w:wordWrap/>
        <w:topLinePunct w:val="0"/>
        <w:bidi w:val="0"/>
        <w:spacing w:before="4"/>
        <w:rPr>
          <w:rFonts w:hint="default" w:ascii="Times New Roman" w:hAnsi="Times New Roman" w:eastAsia="宋体" w:cs="Times New Roman"/>
          <w:color w:val="auto"/>
          <w:highlight w:val="none"/>
          <w:lang w:eastAsia="zh-CN"/>
        </w:rPr>
      </w:pPr>
    </w:p>
    <w:p>
      <w:pPr>
        <w:keepNext w:val="0"/>
        <w:keepLines w:val="0"/>
        <w:pageBreakBefore w:val="0"/>
        <w:widowControl/>
        <w:tabs>
          <w:tab w:val="left" w:pos="3808"/>
        </w:tabs>
        <w:kinsoku/>
        <w:wordWrap/>
        <w:topLinePunct w:val="0"/>
        <w:bidi w:val="0"/>
        <w:spacing w:before="4"/>
        <w:rPr>
          <w:rFonts w:hint="default" w:ascii="Times New Roman" w:hAnsi="Times New Roman" w:eastAsia="宋体" w:cs="Times New Roman"/>
          <w:color w:val="auto"/>
          <w:highlight w:val="none"/>
          <w:lang w:eastAsia="zh-CN"/>
        </w:rPr>
      </w:pPr>
    </w:p>
    <w:p>
      <w:pPr>
        <w:keepNext w:val="0"/>
        <w:keepLines w:val="0"/>
        <w:pageBreakBefore w:val="0"/>
        <w:widowControl/>
        <w:tabs>
          <w:tab w:val="left" w:pos="3808"/>
        </w:tabs>
        <w:kinsoku/>
        <w:wordWrap/>
        <w:topLinePunct w:val="0"/>
        <w:bidi w:val="0"/>
        <w:spacing w:before="4"/>
        <w:rPr>
          <w:rFonts w:hint="default" w:ascii="Times New Roman" w:hAnsi="Times New Roman" w:eastAsia="宋体" w:cs="Times New Roman"/>
          <w:color w:val="auto"/>
          <w:highlight w:val="none"/>
          <w:lang w:eastAsia="zh-CN"/>
        </w:rPr>
      </w:pPr>
    </w:p>
    <w:p>
      <w:pPr>
        <w:keepNext w:val="0"/>
        <w:keepLines w:val="0"/>
        <w:pageBreakBefore w:val="0"/>
        <w:widowControl/>
        <w:tabs>
          <w:tab w:val="left" w:pos="3808"/>
        </w:tabs>
        <w:kinsoku/>
        <w:wordWrap/>
        <w:topLinePunct w:val="0"/>
        <w:bidi w:val="0"/>
        <w:spacing w:before="4"/>
        <w:rPr>
          <w:rFonts w:hint="default" w:ascii="Times New Roman" w:hAnsi="Times New Roman" w:eastAsia="宋体" w:cs="Times New Roman"/>
          <w:color w:val="auto"/>
          <w:highlight w:val="none"/>
          <w:lang w:eastAsia="zh-CN"/>
        </w:rPr>
      </w:pPr>
    </w:p>
    <w:p>
      <w:pPr>
        <w:keepNext w:val="0"/>
        <w:keepLines w:val="0"/>
        <w:pageBreakBefore w:val="0"/>
        <w:widowControl/>
        <w:tabs>
          <w:tab w:val="left" w:pos="3808"/>
        </w:tabs>
        <w:kinsoku/>
        <w:wordWrap/>
        <w:topLinePunct w:val="0"/>
        <w:bidi w:val="0"/>
        <w:spacing w:before="4"/>
        <w:rPr>
          <w:rFonts w:hint="default" w:ascii="Times New Roman" w:hAnsi="Times New Roman" w:eastAsia="宋体" w:cs="Times New Roman"/>
          <w:color w:val="auto"/>
          <w:highlight w:val="none"/>
          <w:lang w:eastAsia="zh-CN"/>
        </w:rPr>
      </w:pPr>
    </w:p>
    <w:p>
      <w:pPr>
        <w:keepNext w:val="0"/>
        <w:keepLines w:val="0"/>
        <w:pageBreakBefore w:val="0"/>
        <w:widowControl/>
        <w:tabs>
          <w:tab w:val="left" w:pos="3808"/>
        </w:tabs>
        <w:kinsoku/>
        <w:wordWrap/>
        <w:topLinePunct w:val="0"/>
        <w:bidi w:val="0"/>
        <w:spacing w:before="4"/>
        <w:rPr>
          <w:rFonts w:hint="default" w:ascii="Times New Roman" w:hAnsi="Times New Roman" w:eastAsia="宋体" w:cs="Times New Roman"/>
          <w:color w:val="auto"/>
          <w:highlight w:val="none"/>
          <w:lang w:eastAsia="zh-CN"/>
        </w:rPr>
      </w:pPr>
    </w:p>
    <w:p>
      <w:pPr>
        <w:keepNext w:val="0"/>
        <w:keepLines w:val="0"/>
        <w:pageBreakBefore w:val="0"/>
        <w:widowControl/>
        <w:kinsoku/>
        <w:wordWrap/>
        <w:topLinePunct w:val="0"/>
        <w:bidi w:val="0"/>
        <w:rPr>
          <w:rFonts w:hint="default" w:ascii="Times New Roman" w:hAnsi="Times New Roman" w:eastAsia="宋体" w:cs="Times New Roman"/>
          <w:color w:val="auto"/>
          <w:highlight w:val="none"/>
          <w:lang w:eastAsia="zh-CN"/>
        </w:rPr>
      </w:pPr>
    </w:p>
    <w:p>
      <w:pPr>
        <w:keepNext w:val="0"/>
        <w:keepLines w:val="0"/>
        <w:pageBreakBefore w:val="0"/>
        <w:widowControl/>
        <w:kinsoku/>
        <w:wordWrap/>
        <w:topLinePunct w:val="0"/>
        <w:bidi w:val="0"/>
        <w:rPr>
          <w:rFonts w:hint="default" w:ascii="Times New Roman" w:hAnsi="Times New Roman" w:eastAsia="宋体" w:cs="Times New Roman"/>
          <w:color w:val="auto"/>
          <w:highlight w:val="none"/>
          <w:lang w:eastAsia="zh-CN"/>
        </w:rPr>
      </w:pPr>
    </w:p>
    <w:p>
      <w:pPr>
        <w:keepNext w:val="0"/>
        <w:keepLines w:val="0"/>
        <w:pageBreakBefore w:val="0"/>
        <w:widowControl/>
        <w:kinsoku/>
        <w:wordWrap/>
        <w:topLinePunct w:val="0"/>
        <w:bidi w:val="0"/>
        <w:rPr>
          <w:rFonts w:hint="default" w:ascii="Times New Roman" w:hAnsi="Times New Roman" w:eastAsia="宋体" w:cs="Times New Roman"/>
          <w:color w:val="auto"/>
          <w:highlight w:val="none"/>
          <w:lang w:eastAsia="zh-CN"/>
        </w:rPr>
      </w:pPr>
    </w:p>
    <w:p>
      <w:pPr>
        <w:keepNext w:val="0"/>
        <w:keepLines w:val="0"/>
        <w:pageBreakBefore w:val="0"/>
        <w:widowControl/>
        <w:kinsoku/>
        <w:wordWrap/>
        <w:topLinePunct w:val="0"/>
        <w:bidi w:val="0"/>
        <w:rPr>
          <w:rFonts w:hint="default" w:ascii="Times New Roman" w:hAnsi="Times New Roman" w:eastAsia="宋体" w:cs="Times New Roman"/>
          <w:color w:val="auto"/>
          <w:highlight w:val="none"/>
          <w:lang w:eastAsia="zh-CN"/>
        </w:rPr>
      </w:pPr>
    </w:p>
    <w:p>
      <w:pPr>
        <w:pStyle w:val="2"/>
        <w:rPr>
          <w:rFonts w:hint="default" w:ascii="Times New Roman" w:hAnsi="Times New Roman" w:eastAsia="宋体" w:cs="Times New Roman"/>
          <w:color w:val="auto"/>
          <w:highlight w:val="none"/>
          <w:lang w:eastAsia="zh-CN"/>
        </w:rPr>
      </w:pPr>
    </w:p>
    <w:p>
      <w:pPr>
        <w:pStyle w:val="2"/>
        <w:rPr>
          <w:rFonts w:hint="default" w:ascii="Times New Roman" w:hAnsi="Times New Roman" w:eastAsia="宋体" w:cs="Times New Roman"/>
          <w:color w:val="auto"/>
          <w:highlight w:val="none"/>
          <w:lang w:eastAsia="zh-CN"/>
        </w:rPr>
      </w:pPr>
    </w:p>
    <w:p>
      <w:pPr>
        <w:keepNext w:val="0"/>
        <w:keepLines w:val="0"/>
        <w:pageBreakBefore w:val="0"/>
        <w:widowControl/>
        <w:kinsoku/>
        <w:wordWrap/>
        <w:topLinePunct w:val="0"/>
        <w:bidi w:val="0"/>
        <w:rPr>
          <w:rFonts w:hint="default" w:ascii="Times New Roman" w:hAnsi="Times New Roman" w:eastAsia="宋体" w:cs="Times New Roman"/>
          <w:color w:val="auto"/>
          <w:highlight w:val="none"/>
          <w:lang w:eastAsia="zh-CN"/>
        </w:rPr>
      </w:pPr>
    </w:p>
    <w:p>
      <w:pPr>
        <w:keepNext w:val="0"/>
        <w:keepLines w:val="0"/>
        <w:pageBreakBefore w:val="0"/>
        <w:widowControl/>
        <w:kinsoku/>
        <w:wordWrap/>
        <w:topLinePunct w:val="0"/>
        <w:bidi w:val="0"/>
        <w:rPr>
          <w:rFonts w:hint="default" w:ascii="Times New Roman" w:hAnsi="Times New Roman" w:eastAsia="宋体" w:cs="Times New Roman"/>
          <w:color w:val="auto"/>
          <w:highlight w:val="none"/>
          <w:lang w:eastAsia="zh-CN"/>
        </w:rPr>
      </w:pPr>
    </w:p>
    <w:p>
      <w:pPr>
        <w:keepNext w:val="0"/>
        <w:keepLines w:val="0"/>
        <w:pageBreakBefore w:val="0"/>
        <w:widowControl/>
        <w:kinsoku/>
        <w:wordWrap/>
        <w:topLinePunct w:val="0"/>
        <w:bidi w:val="0"/>
        <w:rPr>
          <w:rFonts w:hint="default" w:ascii="Times New Roman" w:hAnsi="Times New Roman" w:eastAsia="宋体" w:cs="Times New Roman"/>
          <w:color w:val="auto"/>
          <w:highlight w:val="none"/>
          <w:lang w:eastAsia="zh-CN"/>
        </w:rPr>
      </w:pPr>
    </w:p>
    <w:tbl>
      <w:tblPr>
        <w:tblStyle w:val="11"/>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73"/>
        <w:gridCol w:w="273"/>
        <w:gridCol w:w="273"/>
        <w:gridCol w:w="2316"/>
        <w:gridCol w:w="1004"/>
        <w:gridCol w:w="741"/>
        <w:gridCol w:w="741"/>
        <w:gridCol w:w="1004"/>
        <w:gridCol w:w="741"/>
        <w:gridCol w:w="13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gridSpan w:val="10"/>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b w:val="0"/>
                <w:bCs w:val="0"/>
                <w:i w:val="0"/>
                <w:iCs w:val="0"/>
                <w:snapToGrid w:val="0"/>
                <w:color w:val="000000"/>
                <w:kern w:val="0"/>
                <w:sz w:val="32"/>
                <w:szCs w:val="32"/>
                <w:u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部门：资兴市消防救援大队</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项目</w:t>
            </w:r>
          </w:p>
        </w:tc>
        <w:tc>
          <w:tcPr>
            <w:tcW w:w="0" w:type="auto"/>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本年支出合计</w:t>
            </w:r>
          </w:p>
        </w:tc>
        <w:tc>
          <w:tcPr>
            <w:tcW w:w="0" w:type="auto"/>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基本支出</w:t>
            </w:r>
          </w:p>
        </w:tc>
        <w:tc>
          <w:tcPr>
            <w:tcW w:w="0" w:type="auto"/>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项目支出</w:t>
            </w:r>
          </w:p>
        </w:tc>
        <w:tc>
          <w:tcPr>
            <w:tcW w:w="0" w:type="auto"/>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上缴上级支出</w:t>
            </w:r>
          </w:p>
        </w:tc>
        <w:tc>
          <w:tcPr>
            <w:tcW w:w="0" w:type="auto"/>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经营支出</w:t>
            </w:r>
          </w:p>
        </w:tc>
        <w:tc>
          <w:tcPr>
            <w:tcW w:w="0" w:type="auto"/>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3"/>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科目名称</w:t>
            </w: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3"/>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1,395.79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593.98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801.81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 xml:space="preserve">20.97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 xml:space="preserve">20.97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20.97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20.97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13.98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13.98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2080506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机关事业单位职业年金缴费支出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6.99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6.99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 xml:space="preserve">33.54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 xml:space="preserve">33.54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33.54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33.54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行政单位医疗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31.98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31.98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2101199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其他行政事业单位医疗支出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1.56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1.56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 xml:space="preserve">13.79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 xml:space="preserve">13.79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13.79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13.79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住房公积金</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13.79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13.79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224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 xml:space="preserve">1,327.50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 xml:space="preserve">525.69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 xml:space="preserve">801.81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22402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消防救援事务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1,327.50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525.69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801.81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2240201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行政运行</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525.69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525.69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2240204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消防应急救援</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801.81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801.81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10"/>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注：本表反映部门本年度各项支出情况。</w:t>
            </w:r>
          </w:p>
        </w:tc>
      </w:tr>
    </w:tbl>
    <w:p>
      <w:pPr>
        <w:pStyle w:val="2"/>
        <w:rPr>
          <w:rFonts w:hint="default"/>
          <w:lang w:eastAsia="zh-CN"/>
        </w:rPr>
      </w:pPr>
    </w:p>
    <w:p>
      <w:pPr>
        <w:keepNext w:val="0"/>
        <w:keepLines w:val="0"/>
        <w:pageBreakBefore w:val="0"/>
        <w:widowControl/>
        <w:kinsoku/>
        <w:wordWrap/>
        <w:topLinePunct w:val="0"/>
        <w:bidi w:val="0"/>
        <w:rPr>
          <w:rFonts w:hint="default" w:ascii="Times New Roman" w:hAnsi="Times New Roman" w:eastAsia="宋体" w:cs="Times New Roman"/>
          <w:color w:val="auto"/>
          <w:highlight w:val="none"/>
          <w:lang w:eastAsia="zh-CN"/>
        </w:rPr>
      </w:pPr>
    </w:p>
    <w:p>
      <w:pPr>
        <w:keepNext w:val="0"/>
        <w:keepLines w:val="0"/>
        <w:pageBreakBefore w:val="0"/>
        <w:widowControl/>
        <w:kinsoku/>
        <w:wordWrap/>
        <w:topLinePunct w:val="0"/>
        <w:bidi w:val="0"/>
        <w:rPr>
          <w:rFonts w:hint="default" w:ascii="Times New Roman" w:hAnsi="Times New Roman" w:eastAsia="宋体" w:cs="Times New Roman"/>
          <w:color w:val="auto"/>
          <w:highlight w:val="none"/>
          <w:lang w:eastAsia="zh-CN"/>
        </w:rPr>
      </w:pPr>
    </w:p>
    <w:p>
      <w:pPr>
        <w:keepNext w:val="0"/>
        <w:keepLines w:val="0"/>
        <w:pageBreakBefore w:val="0"/>
        <w:widowControl/>
        <w:kinsoku/>
        <w:wordWrap/>
        <w:topLinePunct w:val="0"/>
        <w:bidi w:val="0"/>
        <w:ind w:firstLine="589" w:firstLineChars="0"/>
        <w:rPr>
          <w:rFonts w:hint="default" w:ascii="Times New Roman" w:hAnsi="Times New Roman" w:eastAsia="宋体" w:cs="Times New Roman"/>
          <w:color w:val="auto"/>
          <w:highlight w:val="none"/>
          <w:lang w:eastAsia="zh-CN"/>
        </w:rPr>
      </w:pPr>
    </w:p>
    <w:p>
      <w:pPr>
        <w:pStyle w:val="2"/>
        <w:keepNext w:val="0"/>
        <w:keepLines w:val="0"/>
        <w:pageBreakBefore w:val="0"/>
        <w:widowControl/>
        <w:kinsoku/>
        <w:wordWrap/>
        <w:topLinePunct w:val="0"/>
        <w:bidi w:val="0"/>
        <w:rPr>
          <w:rFonts w:hint="default" w:ascii="Times New Roman" w:hAnsi="Times New Roman" w:eastAsia="宋体" w:cs="Times New Roman"/>
          <w:color w:val="auto"/>
          <w:highlight w:val="none"/>
          <w:lang w:eastAsia="zh-CN"/>
        </w:rPr>
      </w:pPr>
    </w:p>
    <w:p>
      <w:pPr>
        <w:pStyle w:val="2"/>
        <w:keepNext w:val="0"/>
        <w:keepLines w:val="0"/>
        <w:pageBreakBefore w:val="0"/>
        <w:widowControl/>
        <w:kinsoku/>
        <w:wordWrap/>
        <w:topLinePunct w:val="0"/>
        <w:bidi w:val="0"/>
        <w:rPr>
          <w:rFonts w:hint="default" w:ascii="Times New Roman" w:hAnsi="Times New Roman" w:eastAsia="宋体" w:cs="Times New Roman"/>
          <w:color w:val="auto"/>
          <w:highlight w:val="none"/>
          <w:lang w:eastAsia="zh-CN"/>
        </w:rPr>
      </w:pPr>
    </w:p>
    <w:p>
      <w:pPr>
        <w:pStyle w:val="2"/>
        <w:keepNext w:val="0"/>
        <w:keepLines w:val="0"/>
        <w:pageBreakBefore w:val="0"/>
        <w:widowControl/>
        <w:kinsoku/>
        <w:wordWrap/>
        <w:topLinePunct w:val="0"/>
        <w:bidi w:val="0"/>
        <w:rPr>
          <w:rFonts w:hint="default" w:ascii="Times New Roman" w:hAnsi="Times New Roman" w:eastAsia="宋体" w:cs="Times New Roman"/>
          <w:color w:val="auto"/>
          <w:highlight w:val="none"/>
          <w:lang w:eastAsia="zh-CN"/>
        </w:rPr>
      </w:pPr>
    </w:p>
    <w:p>
      <w:pPr>
        <w:pStyle w:val="2"/>
        <w:keepNext w:val="0"/>
        <w:keepLines w:val="0"/>
        <w:pageBreakBefore w:val="0"/>
        <w:widowControl/>
        <w:kinsoku/>
        <w:wordWrap/>
        <w:topLinePunct w:val="0"/>
        <w:bidi w:val="0"/>
        <w:rPr>
          <w:rFonts w:hint="default" w:ascii="Times New Roman" w:hAnsi="Times New Roman" w:eastAsia="宋体" w:cs="Times New Roman"/>
          <w:color w:val="auto"/>
          <w:highlight w:val="none"/>
          <w:lang w:eastAsia="zh-CN"/>
        </w:rPr>
      </w:pPr>
    </w:p>
    <w:p>
      <w:pPr>
        <w:pStyle w:val="2"/>
        <w:keepNext w:val="0"/>
        <w:keepLines w:val="0"/>
        <w:pageBreakBefore w:val="0"/>
        <w:widowControl/>
        <w:kinsoku/>
        <w:wordWrap/>
        <w:topLinePunct w:val="0"/>
        <w:bidi w:val="0"/>
        <w:rPr>
          <w:rFonts w:hint="default" w:ascii="Times New Roman" w:hAnsi="Times New Roman" w:eastAsia="宋体" w:cs="Times New Roman"/>
          <w:color w:val="auto"/>
          <w:highlight w:val="none"/>
          <w:lang w:eastAsia="zh-CN"/>
        </w:rPr>
      </w:pPr>
    </w:p>
    <w:p>
      <w:pPr>
        <w:pStyle w:val="2"/>
        <w:keepNext w:val="0"/>
        <w:keepLines w:val="0"/>
        <w:pageBreakBefore w:val="0"/>
        <w:widowControl/>
        <w:kinsoku/>
        <w:wordWrap/>
        <w:topLinePunct w:val="0"/>
        <w:bidi w:val="0"/>
        <w:rPr>
          <w:rFonts w:hint="default" w:ascii="Times New Roman" w:hAnsi="Times New Roman" w:eastAsia="宋体" w:cs="Times New Roman"/>
          <w:color w:val="auto"/>
          <w:highlight w:val="none"/>
          <w:lang w:eastAsia="zh-CN"/>
        </w:rPr>
      </w:pPr>
    </w:p>
    <w:p>
      <w:pPr>
        <w:pStyle w:val="2"/>
        <w:keepNext w:val="0"/>
        <w:keepLines w:val="0"/>
        <w:pageBreakBefore w:val="0"/>
        <w:widowControl/>
        <w:kinsoku/>
        <w:wordWrap/>
        <w:topLinePunct w:val="0"/>
        <w:bidi w:val="0"/>
        <w:rPr>
          <w:rFonts w:hint="default" w:ascii="Times New Roman" w:hAnsi="Times New Roman" w:eastAsia="宋体" w:cs="Times New Roman"/>
          <w:color w:val="auto"/>
          <w:highlight w:val="none"/>
          <w:lang w:eastAsia="zh-CN"/>
        </w:rPr>
      </w:pPr>
    </w:p>
    <w:p>
      <w:pPr>
        <w:pStyle w:val="2"/>
        <w:keepNext w:val="0"/>
        <w:keepLines w:val="0"/>
        <w:pageBreakBefore w:val="0"/>
        <w:widowControl/>
        <w:kinsoku/>
        <w:wordWrap/>
        <w:topLinePunct w:val="0"/>
        <w:bidi w:val="0"/>
        <w:rPr>
          <w:rFonts w:hint="default" w:ascii="Times New Roman" w:hAnsi="Times New Roman" w:eastAsia="宋体" w:cs="Times New Roman"/>
          <w:color w:val="auto"/>
          <w:highlight w:val="none"/>
          <w:lang w:eastAsia="zh-CN"/>
        </w:rPr>
      </w:pPr>
    </w:p>
    <w:p>
      <w:pPr>
        <w:keepNext w:val="0"/>
        <w:keepLines w:val="0"/>
        <w:pageBreakBefore w:val="0"/>
        <w:widowControl/>
        <w:kinsoku/>
        <w:wordWrap/>
        <w:topLinePunct w:val="0"/>
        <w:bidi w:val="0"/>
        <w:rPr>
          <w:rFonts w:hint="default" w:ascii="Times New Roman" w:hAnsi="Times New Roman" w:cs="Times New Roman"/>
          <w:color w:val="auto"/>
          <w:highlight w:val="none"/>
        </w:rPr>
        <w:sectPr>
          <w:footerReference r:id="rId9" w:type="default"/>
          <w:pgSz w:w="11907" w:h="16839"/>
          <w:pgMar w:top="1429" w:right="1531" w:bottom="941" w:left="1532" w:header="0" w:footer="675" w:gutter="0"/>
          <w:pgBorders>
            <w:top w:val="none" w:sz="0" w:space="0"/>
            <w:left w:val="none" w:sz="0" w:space="0"/>
            <w:bottom w:val="none" w:sz="0" w:space="0"/>
            <w:right w:val="none" w:sz="0" w:space="0"/>
          </w:pgBorders>
          <w:pgNumType w:fmt="decimal"/>
          <w:cols w:equalWidth="0" w:num="1">
            <w:col w:w="8640"/>
          </w:cols>
          <w:rtlGutter w:val="0"/>
          <w:docGrid w:linePitch="0" w:charSpace="0"/>
        </w:sectPr>
      </w:pPr>
    </w:p>
    <w:p>
      <w:pPr>
        <w:pStyle w:val="2"/>
        <w:keepNext w:val="0"/>
        <w:keepLines w:val="0"/>
        <w:pageBreakBefore w:val="0"/>
        <w:widowControl/>
        <w:kinsoku/>
        <w:wordWrap/>
        <w:topLinePunct w:val="0"/>
        <w:bidi w:val="0"/>
        <w:ind w:left="0" w:leftChars="0" w:firstLine="0" w:firstLineChars="0"/>
        <w:rPr>
          <w:rFonts w:hint="default" w:ascii="Times New Roman" w:hAnsi="Times New Roman" w:cs="Times New Roman"/>
          <w:color w:val="auto"/>
          <w:highlight w:val="none"/>
        </w:rPr>
      </w:pPr>
    </w:p>
    <w:tbl>
      <w:tblPr>
        <w:tblStyle w:val="11"/>
        <w:tblW w:w="918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006"/>
        <w:gridCol w:w="400"/>
        <w:gridCol w:w="625"/>
        <w:gridCol w:w="2325"/>
        <w:gridCol w:w="575"/>
        <w:gridCol w:w="637"/>
        <w:gridCol w:w="888"/>
        <w:gridCol w:w="862"/>
        <w:gridCol w:w="8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9188" w:type="dxa"/>
            <w:gridSpan w:val="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32"/>
                <w:szCs w:val="32"/>
                <w:u w:val="none"/>
                <w:lang w:val="en-US" w:eastAsia="zh-CN" w:bidi="ar"/>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06" w:type="dxa"/>
            <w:gridSpan w:val="2"/>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625"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2325"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575"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637"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888"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86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870"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06" w:type="dxa"/>
            <w:gridSpan w:val="2"/>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部门：资兴市消防救援大队</w:t>
            </w:r>
          </w:p>
        </w:tc>
        <w:tc>
          <w:tcPr>
            <w:tcW w:w="625"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2325"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575"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637"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888"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1732" w:type="dxa"/>
            <w:gridSpan w:val="2"/>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0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收入</w:t>
            </w:r>
          </w:p>
        </w:tc>
        <w:tc>
          <w:tcPr>
            <w:tcW w:w="6157" w:type="dxa"/>
            <w:gridSpan w:val="6"/>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0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项目 </w:t>
            </w:r>
          </w:p>
        </w:tc>
        <w:tc>
          <w:tcPr>
            <w:tcW w:w="4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行次</w:t>
            </w:r>
          </w:p>
        </w:tc>
        <w:tc>
          <w:tcPr>
            <w:tcW w:w="6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金额</w:t>
            </w:r>
          </w:p>
        </w:tc>
        <w:tc>
          <w:tcPr>
            <w:tcW w:w="23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项目</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行次</w:t>
            </w:r>
          </w:p>
        </w:tc>
        <w:tc>
          <w:tcPr>
            <w:tcW w:w="6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合计</w:t>
            </w:r>
          </w:p>
        </w:tc>
        <w:tc>
          <w:tcPr>
            <w:tcW w:w="88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一般公共预算财政拨款</w:t>
            </w:r>
          </w:p>
        </w:tc>
        <w:tc>
          <w:tcPr>
            <w:tcW w:w="86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政府性基金预算财政拨款</w:t>
            </w:r>
          </w:p>
        </w:tc>
        <w:tc>
          <w:tcPr>
            <w:tcW w:w="8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0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栏次</w:t>
            </w:r>
          </w:p>
        </w:tc>
        <w:tc>
          <w:tcPr>
            <w:tcW w:w="400"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6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w:t>
            </w:r>
          </w:p>
        </w:tc>
        <w:tc>
          <w:tcPr>
            <w:tcW w:w="23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栏次</w:t>
            </w:r>
          </w:p>
        </w:tc>
        <w:tc>
          <w:tcPr>
            <w:tcW w:w="575"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6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w:t>
            </w:r>
          </w:p>
        </w:tc>
        <w:tc>
          <w:tcPr>
            <w:tcW w:w="88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3</w:t>
            </w:r>
          </w:p>
        </w:tc>
        <w:tc>
          <w:tcPr>
            <w:tcW w:w="86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4</w:t>
            </w:r>
          </w:p>
        </w:tc>
        <w:tc>
          <w:tcPr>
            <w:tcW w:w="8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0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一、一般公共预算财政拨款 </w:t>
            </w:r>
          </w:p>
        </w:tc>
        <w:tc>
          <w:tcPr>
            <w:tcW w:w="4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w:t>
            </w:r>
          </w:p>
        </w:tc>
        <w:tc>
          <w:tcPr>
            <w:tcW w:w="6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67.51</w:t>
            </w:r>
          </w:p>
        </w:tc>
        <w:tc>
          <w:tcPr>
            <w:tcW w:w="23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一、一般公共服务支出</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33</w:t>
            </w:r>
          </w:p>
        </w:tc>
        <w:tc>
          <w:tcPr>
            <w:tcW w:w="63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8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0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二、政府性基金预算财政拨款</w:t>
            </w:r>
          </w:p>
        </w:tc>
        <w:tc>
          <w:tcPr>
            <w:tcW w:w="4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w:t>
            </w:r>
          </w:p>
        </w:tc>
        <w:tc>
          <w:tcPr>
            <w:tcW w:w="6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23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二、外交支出</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34</w:t>
            </w:r>
          </w:p>
        </w:tc>
        <w:tc>
          <w:tcPr>
            <w:tcW w:w="63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8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0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三、国有资本经营预算财政拨款</w:t>
            </w:r>
          </w:p>
        </w:tc>
        <w:tc>
          <w:tcPr>
            <w:tcW w:w="4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3</w:t>
            </w:r>
          </w:p>
        </w:tc>
        <w:tc>
          <w:tcPr>
            <w:tcW w:w="6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23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三、国防支出</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35</w:t>
            </w:r>
          </w:p>
        </w:tc>
        <w:tc>
          <w:tcPr>
            <w:tcW w:w="63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8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06"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4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4</w:t>
            </w:r>
          </w:p>
        </w:tc>
        <w:tc>
          <w:tcPr>
            <w:tcW w:w="6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23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四、公共安全支出</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36</w:t>
            </w:r>
          </w:p>
        </w:tc>
        <w:tc>
          <w:tcPr>
            <w:tcW w:w="63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8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06"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4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5</w:t>
            </w:r>
          </w:p>
        </w:tc>
        <w:tc>
          <w:tcPr>
            <w:tcW w:w="6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23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五、教育支出</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37</w:t>
            </w:r>
          </w:p>
        </w:tc>
        <w:tc>
          <w:tcPr>
            <w:tcW w:w="63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8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06"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4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6</w:t>
            </w:r>
          </w:p>
        </w:tc>
        <w:tc>
          <w:tcPr>
            <w:tcW w:w="6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23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六、科学技术支出</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38</w:t>
            </w:r>
          </w:p>
        </w:tc>
        <w:tc>
          <w:tcPr>
            <w:tcW w:w="63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8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06"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4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7</w:t>
            </w:r>
          </w:p>
        </w:tc>
        <w:tc>
          <w:tcPr>
            <w:tcW w:w="6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23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七、文化旅游体育与传媒支出</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39</w:t>
            </w:r>
          </w:p>
        </w:tc>
        <w:tc>
          <w:tcPr>
            <w:tcW w:w="63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8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06"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4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8</w:t>
            </w:r>
          </w:p>
        </w:tc>
        <w:tc>
          <w:tcPr>
            <w:tcW w:w="6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23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八、社会保障和就业支出</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40</w:t>
            </w:r>
          </w:p>
        </w:tc>
        <w:tc>
          <w:tcPr>
            <w:tcW w:w="63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8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06"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4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9</w:t>
            </w:r>
          </w:p>
        </w:tc>
        <w:tc>
          <w:tcPr>
            <w:tcW w:w="6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23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九、卫生健康支出</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41</w:t>
            </w:r>
          </w:p>
        </w:tc>
        <w:tc>
          <w:tcPr>
            <w:tcW w:w="63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8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06"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4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10</w:t>
            </w:r>
          </w:p>
        </w:tc>
        <w:tc>
          <w:tcPr>
            <w:tcW w:w="625"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23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十、节能环保支出</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42</w:t>
            </w:r>
          </w:p>
        </w:tc>
        <w:tc>
          <w:tcPr>
            <w:tcW w:w="63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8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06"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4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11</w:t>
            </w:r>
          </w:p>
        </w:tc>
        <w:tc>
          <w:tcPr>
            <w:tcW w:w="625"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23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十一、城乡社区支出</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43</w:t>
            </w:r>
          </w:p>
        </w:tc>
        <w:tc>
          <w:tcPr>
            <w:tcW w:w="63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8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06"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4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12</w:t>
            </w:r>
          </w:p>
        </w:tc>
        <w:tc>
          <w:tcPr>
            <w:tcW w:w="625"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23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十二、农林水支出</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44</w:t>
            </w:r>
          </w:p>
        </w:tc>
        <w:tc>
          <w:tcPr>
            <w:tcW w:w="63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8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06"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4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13</w:t>
            </w:r>
          </w:p>
        </w:tc>
        <w:tc>
          <w:tcPr>
            <w:tcW w:w="625"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23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十三、交通运输支出</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45</w:t>
            </w:r>
          </w:p>
        </w:tc>
        <w:tc>
          <w:tcPr>
            <w:tcW w:w="63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8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06"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4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14</w:t>
            </w:r>
          </w:p>
        </w:tc>
        <w:tc>
          <w:tcPr>
            <w:tcW w:w="625"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23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十四、资源勘探工业信息等支出</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46</w:t>
            </w:r>
          </w:p>
        </w:tc>
        <w:tc>
          <w:tcPr>
            <w:tcW w:w="63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8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06"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4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15</w:t>
            </w:r>
          </w:p>
        </w:tc>
        <w:tc>
          <w:tcPr>
            <w:tcW w:w="625"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23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十五、商业服务业等支出</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47</w:t>
            </w:r>
          </w:p>
        </w:tc>
        <w:tc>
          <w:tcPr>
            <w:tcW w:w="63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8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06"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4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16</w:t>
            </w:r>
          </w:p>
        </w:tc>
        <w:tc>
          <w:tcPr>
            <w:tcW w:w="625"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23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十六、金融支出</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48</w:t>
            </w:r>
          </w:p>
        </w:tc>
        <w:tc>
          <w:tcPr>
            <w:tcW w:w="63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8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06"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4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17</w:t>
            </w:r>
          </w:p>
        </w:tc>
        <w:tc>
          <w:tcPr>
            <w:tcW w:w="625"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23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十七、援助其他地区支出</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49</w:t>
            </w:r>
          </w:p>
        </w:tc>
        <w:tc>
          <w:tcPr>
            <w:tcW w:w="63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8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06"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4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18</w:t>
            </w:r>
          </w:p>
        </w:tc>
        <w:tc>
          <w:tcPr>
            <w:tcW w:w="625"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23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十八、自然资源海洋气象等支出</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50</w:t>
            </w:r>
          </w:p>
        </w:tc>
        <w:tc>
          <w:tcPr>
            <w:tcW w:w="63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8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06"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4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19</w:t>
            </w:r>
          </w:p>
        </w:tc>
        <w:tc>
          <w:tcPr>
            <w:tcW w:w="625"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23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十九、住房保障支出</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51</w:t>
            </w:r>
          </w:p>
        </w:tc>
        <w:tc>
          <w:tcPr>
            <w:tcW w:w="63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8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06"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4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20</w:t>
            </w:r>
          </w:p>
        </w:tc>
        <w:tc>
          <w:tcPr>
            <w:tcW w:w="625"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23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二十、粮油物资储备支出</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52</w:t>
            </w:r>
          </w:p>
        </w:tc>
        <w:tc>
          <w:tcPr>
            <w:tcW w:w="63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8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06"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4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21</w:t>
            </w:r>
          </w:p>
        </w:tc>
        <w:tc>
          <w:tcPr>
            <w:tcW w:w="625"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23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二十一、国有资本经营预算支出</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53</w:t>
            </w:r>
          </w:p>
        </w:tc>
        <w:tc>
          <w:tcPr>
            <w:tcW w:w="63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8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06"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4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22</w:t>
            </w:r>
          </w:p>
        </w:tc>
        <w:tc>
          <w:tcPr>
            <w:tcW w:w="625"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23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二十二、灾害防治及应急管理支出</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54</w:t>
            </w:r>
          </w:p>
        </w:tc>
        <w:tc>
          <w:tcPr>
            <w:tcW w:w="6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83.24</w:t>
            </w:r>
          </w:p>
        </w:tc>
        <w:tc>
          <w:tcPr>
            <w:tcW w:w="88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83.24</w:t>
            </w:r>
          </w:p>
        </w:tc>
        <w:tc>
          <w:tcPr>
            <w:tcW w:w="86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06"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4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23</w:t>
            </w:r>
          </w:p>
        </w:tc>
        <w:tc>
          <w:tcPr>
            <w:tcW w:w="625"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23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二十三、其他支出</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55</w:t>
            </w:r>
          </w:p>
        </w:tc>
        <w:tc>
          <w:tcPr>
            <w:tcW w:w="63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8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06"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4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24</w:t>
            </w:r>
          </w:p>
        </w:tc>
        <w:tc>
          <w:tcPr>
            <w:tcW w:w="625"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23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二十四、债务还本支出</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56</w:t>
            </w:r>
          </w:p>
        </w:tc>
        <w:tc>
          <w:tcPr>
            <w:tcW w:w="63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8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06"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4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25</w:t>
            </w:r>
          </w:p>
        </w:tc>
        <w:tc>
          <w:tcPr>
            <w:tcW w:w="625"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23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二十五、债务付息支出</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57</w:t>
            </w:r>
          </w:p>
        </w:tc>
        <w:tc>
          <w:tcPr>
            <w:tcW w:w="63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8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06"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4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26</w:t>
            </w:r>
          </w:p>
        </w:tc>
        <w:tc>
          <w:tcPr>
            <w:tcW w:w="625"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23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二十六、抗疫特别国债安排的支出</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58</w:t>
            </w:r>
          </w:p>
        </w:tc>
        <w:tc>
          <w:tcPr>
            <w:tcW w:w="63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8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0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本年收入合计</w:t>
            </w:r>
          </w:p>
        </w:tc>
        <w:tc>
          <w:tcPr>
            <w:tcW w:w="4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27</w:t>
            </w:r>
          </w:p>
        </w:tc>
        <w:tc>
          <w:tcPr>
            <w:tcW w:w="6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67.51</w:t>
            </w:r>
          </w:p>
        </w:tc>
        <w:tc>
          <w:tcPr>
            <w:tcW w:w="23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本年支出合计</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59</w:t>
            </w:r>
          </w:p>
        </w:tc>
        <w:tc>
          <w:tcPr>
            <w:tcW w:w="6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83.24</w:t>
            </w:r>
          </w:p>
        </w:tc>
        <w:tc>
          <w:tcPr>
            <w:tcW w:w="88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83.24</w:t>
            </w:r>
          </w:p>
        </w:tc>
        <w:tc>
          <w:tcPr>
            <w:tcW w:w="86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0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年初财政拨款结转和结余 </w:t>
            </w:r>
          </w:p>
        </w:tc>
        <w:tc>
          <w:tcPr>
            <w:tcW w:w="4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28</w:t>
            </w:r>
          </w:p>
        </w:tc>
        <w:tc>
          <w:tcPr>
            <w:tcW w:w="6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15.73</w:t>
            </w:r>
          </w:p>
        </w:tc>
        <w:tc>
          <w:tcPr>
            <w:tcW w:w="23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年末财政拨款结转和结余 </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60</w:t>
            </w:r>
          </w:p>
        </w:tc>
        <w:tc>
          <w:tcPr>
            <w:tcW w:w="63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8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0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一般公共预算财政拨款</w:t>
            </w:r>
          </w:p>
        </w:tc>
        <w:tc>
          <w:tcPr>
            <w:tcW w:w="4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29</w:t>
            </w:r>
          </w:p>
        </w:tc>
        <w:tc>
          <w:tcPr>
            <w:tcW w:w="6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15.73</w:t>
            </w:r>
          </w:p>
        </w:tc>
        <w:tc>
          <w:tcPr>
            <w:tcW w:w="2325"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61</w:t>
            </w:r>
          </w:p>
        </w:tc>
        <w:tc>
          <w:tcPr>
            <w:tcW w:w="63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8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70"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0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政府性基金预算财政拨款</w:t>
            </w:r>
          </w:p>
        </w:tc>
        <w:tc>
          <w:tcPr>
            <w:tcW w:w="4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30</w:t>
            </w:r>
          </w:p>
        </w:tc>
        <w:tc>
          <w:tcPr>
            <w:tcW w:w="6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2325"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62</w:t>
            </w:r>
          </w:p>
        </w:tc>
        <w:tc>
          <w:tcPr>
            <w:tcW w:w="63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8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70"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0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国有资本经营预算财政拨款</w:t>
            </w:r>
          </w:p>
        </w:tc>
        <w:tc>
          <w:tcPr>
            <w:tcW w:w="4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31</w:t>
            </w:r>
          </w:p>
        </w:tc>
        <w:tc>
          <w:tcPr>
            <w:tcW w:w="6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2325"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63</w:t>
            </w:r>
          </w:p>
        </w:tc>
        <w:tc>
          <w:tcPr>
            <w:tcW w:w="637"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888"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862"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870"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0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 xml:space="preserve">总计 </w:t>
            </w:r>
          </w:p>
        </w:tc>
        <w:tc>
          <w:tcPr>
            <w:tcW w:w="4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32</w:t>
            </w:r>
          </w:p>
        </w:tc>
        <w:tc>
          <w:tcPr>
            <w:tcW w:w="6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83.24</w:t>
            </w:r>
          </w:p>
        </w:tc>
        <w:tc>
          <w:tcPr>
            <w:tcW w:w="23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 xml:space="preserve">总计 </w:t>
            </w:r>
          </w:p>
        </w:tc>
        <w:tc>
          <w:tcPr>
            <w:tcW w:w="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64</w:t>
            </w:r>
          </w:p>
        </w:tc>
        <w:tc>
          <w:tcPr>
            <w:tcW w:w="6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83.24</w:t>
            </w:r>
          </w:p>
        </w:tc>
        <w:tc>
          <w:tcPr>
            <w:tcW w:w="88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83.24</w:t>
            </w:r>
          </w:p>
        </w:tc>
        <w:tc>
          <w:tcPr>
            <w:tcW w:w="86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8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88" w:type="dxa"/>
            <w:gridSpan w:val="9"/>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注：本表反映部门本年度一般公共预算财政拨款、政府性基金预算财政拨款和国有资本经营预算财政拨款的总收支和年末结转结余情况。</w:t>
            </w:r>
          </w:p>
        </w:tc>
      </w:tr>
    </w:tbl>
    <w:p>
      <w:pPr>
        <w:keepNext w:val="0"/>
        <w:keepLines w:val="0"/>
        <w:pageBreakBefore w:val="0"/>
        <w:widowControl/>
        <w:kinsoku/>
        <w:wordWrap/>
        <w:topLinePunct w:val="0"/>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pPr>
        <w:keepNext w:val="0"/>
        <w:keepLines w:val="0"/>
        <w:pageBreakBefore w:val="0"/>
        <w:widowControl/>
        <w:kinsoku/>
        <w:wordWrap/>
        <w:topLinePunct w:val="0"/>
        <w:bidi w:val="0"/>
        <w:rPr>
          <w:rFonts w:hint="default" w:ascii="Times New Roman" w:hAnsi="Times New Roman" w:cs="Times New Roman"/>
          <w:color w:val="auto"/>
          <w:highlight w:val="none"/>
        </w:rPr>
      </w:pPr>
    </w:p>
    <w:tbl>
      <w:tblPr>
        <w:tblStyle w:val="11"/>
        <w:tblW w:w="95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9"/>
        <w:gridCol w:w="289"/>
        <w:gridCol w:w="396"/>
        <w:gridCol w:w="3558"/>
        <w:gridCol w:w="1846"/>
        <w:gridCol w:w="1678"/>
        <w:gridCol w:w="15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9580" w:type="dxa"/>
            <w:gridSpan w:val="7"/>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000000"/>
                <w:sz w:val="30"/>
                <w:szCs w:val="30"/>
                <w:u w:val="none"/>
              </w:rPr>
            </w:pPr>
            <w:r>
              <w:rPr>
                <w:rFonts w:hint="eastAsia" w:ascii="宋体" w:hAnsi="宋体" w:eastAsia="宋体" w:cs="宋体"/>
                <w:i w:val="0"/>
                <w:iCs w:val="0"/>
                <w:snapToGrid w:val="0"/>
                <w:color w:val="000000"/>
                <w:kern w:val="0"/>
                <w:sz w:val="32"/>
                <w:szCs w:val="32"/>
                <w:u w:val="none"/>
                <w:lang w:val="en-US" w:eastAsia="zh-CN" w:bidi="ar"/>
              </w:rPr>
              <w:br w:type="page"/>
            </w:r>
            <w:r>
              <w:rPr>
                <w:rFonts w:hint="eastAsia" w:ascii="宋体" w:hAnsi="宋体" w:eastAsia="宋体" w:cs="宋体"/>
                <w:i w:val="0"/>
                <w:iCs w:val="0"/>
                <w:snapToGrid w:val="0"/>
                <w:color w:val="000000"/>
                <w:kern w:val="0"/>
                <w:sz w:val="32"/>
                <w:szCs w:val="32"/>
                <w:u w:val="none"/>
                <w:lang w:val="en-US" w:eastAsia="zh-CN" w:bidi="ar"/>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5" w:hRule="atLeast"/>
          <w:jc w:val="center"/>
        </w:trPr>
        <w:tc>
          <w:tcPr>
            <w:tcW w:w="289" w:type="dxa"/>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jc w:val="left"/>
              <w:rPr>
                <w:rFonts w:hint="eastAsia" w:ascii="宋体" w:hAnsi="宋体" w:eastAsia="宋体" w:cs="宋体"/>
                <w:i w:val="0"/>
                <w:iCs w:val="0"/>
                <w:color w:val="000000"/>
                <w:sz w:val="18"/>
                <w:szCs w:val="18"/>
                <w:u w:val="none"/>
              </w:rPr>
            </w:pPr>
          </w:p>
        </w:tc>
        <w:tc>
          <w:tcPr>
            <w:tcW w:w="289" w:type="dxa"/>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jc w:val="left"/>
              <w:rPr>
                <w:rFonts w:hint="eastAsia" w:ascii="宋体" w:hAnsi="宋体" w:eastAsia="宋体" w:cs="宋体"/>
                <w:i w:val="0"/>
                <w:iCs w:val="0"/>
                <w:color w:val="000000"/>
                <w:sz w:val="18"/>
                <w:szCs w:val="18"/>
                <w:u w:val="none"/>
              </w:rPr>
            </w:pPr>
          </w:p>
        </w:tc>
        <w:tc>
          <w:tcPr>
            <w:tcW w:w="396" w:type="dxa"/>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jc w:val="left"/>
              <w:rPr>
                <w:rFonts w:hint="eastAsia" w:ascii="宋体" w:hAnsi="宋体" w:eastAsia="宋体" w:cs="宋体"/>
                <w:i w:val="0"/>
                <w:iCs w:val="0"/>
                <w:color w:val="000000"/>
                <w:sz w:val="18"/>
                <w:szCs w:val="18"/>
                <w:u w:val="none"/>
              </w:rPr>
            </w:pPr>
          </w:p>
        </w:tc>
        <w:tc>
          <w:tcPr>
            <w:tcW w:w="3558" w:type="dxa"/>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jc w:val="left"/>
              <w:rPr>
                <w:rFonts w:hint="eastAsia" w:ascii="宋体" w:hAnsi="宋体" w:eastAsia="宋体" w:cs="宋体"/>
                <w:i w:val="0"/>
                <w:iCs w:val="0"/>
                <w:color w:val="000000"/>
                <w:sz w:val="18"/>
                <w:szCs w:val="18"/>
                <w:u w:val="none"/>
              </w:rPr>
            </w:pPr>
          </w:p>
        </w:tc>
        <w:tc>
          <w:tcPr>
            <w:tcW w:w="1846" w:type="dxa"/>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jc w:val="left"/>
              <w:rPr>
                <w:rFonts w:hint="eastAsia" w:ascii="宋体" w:hAnsi="宋体" w:eastAsia="宋体" w:cs="宋体"/>
                <w:i w:val="0"/>
                <w:iCs w:val="0"/>
                <w:color w:val="000000"/>
                <w:sz w:val="18"/>
                <w:szCs w:val="18"/>
                <w:u w:val="none"/>
              </w:rPr>
            </w:pPr>
          </w:p>
        </w:tc>
        <w:tc>
          <w:tcPr>
            <w:tcW w:w="1678" w:type="dxa"/>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jc w:val="left"/>
              <w:rPr>
                <w:rFonts w:hint="eastAsia" w:ascii="宋体" w:hAnsi="宋体" w:eastAsia="宋体" w:cs="宋体"/>
                <w:i w:val="0"/>
                <w:iCs w:val="0"/>
                <w:color w:val="000000"/>
                <w:sz w:val="18"/>
                <w:szCs w:val="18"/>
                <w:u w:val="none"/>
              </w:rPr>
            </w:pPr>
          </w:p>
        </w:tc>
        <w:tc>
          <w:tcPr>
            <w:tcW w:w="152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6"/>
                <w:szCs w:val="16"/>
                <w:u w:val="none"/>
                <w:lang w:val="en-US" w:eastAsia="zh-CN" w:bidi="ar"/>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jc w:val="center"/>
        </w:trPr>
        <w:tc>
          <w:tcPr>
            <w:tcW w:w="6378" w:type="dxa"/>
            <w:gridSpan w:val="5"/>
            <w:tcBorders>
              <w:top w:val="nil"/>
              <w:left w:val="nil"/>
              <w:bottom w:val="nil"/>
              <w:right w:val="nil"/>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6"/>
                <w:szCs w:val="16"/>
                <w:u w:val="none"/>
                <w:lang w:val="en-US" w:eastAsia="zh-CN" w:bidi="ar"/>
              </w:rPr>
              <w:t xml:space="preserve">部门：资兴市消防救援大队 </w:t>
            </w:r>
            <w:r>
              <w:rPr>
                <w:rFonts w:hint="eastAsia" w:ascii="宋体" w:hAnsi="宋体" w:eastAsia="宋体" w:cs="宋体"/>
                <w:i w:val="0"/>
                <w:iCs w:val="0"/>
                <w:snapToGrid w:val="0"/>
                <w:color w:val="000000"/>
                <w:kern w:val="0"/>
                <w:sz w:val="18"/>
                <w:szCs w:val="18"/>
                <w:u w:val="none"/>
                <w:lang w:val="en-US" w:eastAsia="zh-CN" w:bidi="ar"/>
              </w:rPr>
              <w:t xml:space="preserve">                                                             </w:t>
            </w:r>
          </w:p>
        </w:tc>
        <w:tc>
          <w:tcPr>
            <w:tcW w:w="1678" w:type="dxa"/>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000000"/>
                <w:sz w:val="18"/>
                <w:szCs w:val="18"/>
                <w:u w:val="none"/>
              </w:rPr>
            </w:pPr>
          </w:p>
        </w:tc>
        <w:tc>
          <w:tcPr>
            <w:tcW w:w="152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jc w:val="center"/>
        </w:trPr>
        <w:tc>
          <w:tcPr>
            <w:tcW w:w="4532"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项目</w:t>
            </w:r>
          </w:p>
        </w:tc>
        <w:tc>
          <w:tcPr>
            <w:tcW w:w="5048" w:type="dxa"/>
            <w:gridSpan w:val="3"/>
            <w:tcBorders>
              <w:top w:val="single" w:color="000000" w:sz="8" w:space="0"/>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jc w:val="center"/>
        </w:trPr>
        <w:tc>
          <w:tcPr>
            <w:tcW w:w="974" w:type="dxa"/>
            <w:gridSpan w:val="3"/>
            <w:vMerge w:val="restart"/>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科目代码</w:t>
            </w:r>
          </w:p>
        </w:tc>
        <w:tc>
          <w:tcPr>
            <w:tcW w:w="3558" w:type="dxa"/>
            <w:vMerge w:val="restart"/>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科目名称</w:t>
            </w:r>
          </w:p>
        </w:tc>
        <w:tc>
          <w:tcPr>
            <w:tcW w:w="1846" w:type="dxa"/>
            <w:vMerge w:val="restart"/>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小计</w:t>
            </w:r>
          </w:p>
        </w:tc>
        <w:tc>
          <w:tcPr>
            <w:tcW w:w="1678" w:type="dxa"/>
            <w:vMerge w:val="restart"/>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基本支出</w:t>
            </w:r>
          </w:p>
        </w:tc>
        <w:tc>
          <w:tcPr>
            <w:tcW w:w="1524" w:type="dxa"/>
            <w:vMerge w:val="restart"/>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74" w:type="dxa"/>
            <w:gridSpan w:val="3"/>
            <w:vMerge w:val="continue"/>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000000"/>
                <w:sz w:val="16"/>
                <w:szCs w:val="16"/>
                <w:u w:val="none"/>
              </w:rPr>
            </w:pPr>
          </w:p>
        </w:tc>
        <w:tc>
          <w:tcPr>
            <w:tcW w:w="3558" w:type="dxa"/>
            <w:vMerge w:val="continue"/>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000000"/>
                <w:sz w:val="16"/>
                <w:szCs w:val="16"/>
                <w:u w:val="none"/>
              </w:rPr>
            </w:pPr>
          </w:p>
        </w:tc>
        <w:tc>
          <w:tcPr>
            <w:tcW w:w="1846" w:type="dxa"/>
            <w:vMerge w:val="continue"/>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000000"/>
                <w:sz w:val="16"/>
                <w:szCs w:val="16"/>
                <w:u w:val="none"/>
              </w:rPr>
            </w:pPr>
          </w:p>
        </w:tc>
        <w:tc>
          <w:tcPr>
            <w:tcW w:w="1678" w:type="dxa"/>
            <w:vMerge w:val="continue"/>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000000"/>
                <w:sz w:val="16"/>
                <w:szCs w:val="16"/>
                <w:u w:val="none"/>
              </w:rPr>
            </w:pPr>
          </w:p>
        </w:tc>
        <w:tc>
          <w:tcPr>
            <w:tcW w:w="1524" w:type="dxa"/>
            <w:vMerge w:val="continue"/>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jc w:val="center"/>
        </w:trPr>
        <w:tc>
          <w:tcPr>
            <w:tcW w:w="4532" w:type="dxa"/>
            <w:gridSpan w:val="4"/>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栏次</w:t>
            </w:r>
          </w:p>
        </w:tc>
        <w:tc>
          <w:tcPr>
            <w:tcW w:w="184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w:t>
            </w:r>
          </w:p>
        </w:tc>
        <w:tc>
          <w:tcPr>
            <w:tcW w:w="167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w:t>
            </w:r>
          </w:p>
        </w:tc>
        <w:tc>
          <w:tcPr>
            <w:tcW w:w="1524"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jc w:val="center"/>
        </w:trPr>
        <w:tc>
          <w:tcPr>
            <w:tcW w:w="4532" w:type="dxa"/>
            <w:gridSpan w:val="4"/>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合计</w:t>
            </w:r>
          </w:p>
        </w:tc>
        <w:tc>
          <w:tcPr>
            <w:tcW w:w="184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b/>
                <w:bCs/>
                <w:i w:val="0"/>
                <w:iCs w:val="0"/>
                <w:snapToGrid w:val="0"/>
                <w:color w:val="000000"/>
                <w:kern w:val="0"/>
                <w:sz w:val="16"/>
                <w:szCs w:val="16"/>
                <w:u w:val="none"/>
                <w:lang w:val="en-US" w:eastAsia="zh-CN" w:bidi="ar"/>
              </w:rPr>
            </w:pPr>
            <w:r>
              <w:rPr>
                <w:rFonts w:hint="eastAsia" w:ascii="宋体" w:hAnsi="宋体" w:eastAsia="宋体" w:cs="宋体"/>
                <w:b/>
                <w:bCs/>
                <w:i w:val="0"/>
                <w:iCs w:val="0"/>
                <w:snapToGrid w:val="0"/>
                <w:color w:val="000000"/>
                <w:kern w:val="0"/>
                <w:sz w:val="16"/>
                <w:szCs w:val="16"/>
                <w:u w:val="none"/>
                <w:lang w:val="en-US" w:eastAsia="zh-CN" w:bidi="ar"/>
              </w:rPr>
              <w:t>83.24</w:t>
            </w:r>
          </w:p>
        </w:tc>
        <w:tc>
          <w:tcPr>
            <w:tcW w:w="167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b/>
                <w:bCs/>
                <w:i w:val="0"/>
                <w:iCs w:val="0"/>
                <w:snapToGrid w:val="0"/>
                <w:color w:val="000000"/>
                <w:kern w:val="0"/>
                <w:sz w:val="16"/>
                <w:szCs w:val="16"/>
                <w:u w:val="none"/>
                <w:lang w:val="en-US" w:eastAsia="zh-CN" w:bidi="ar"/>
              </w:rPr>
            </w:pPr>
            <w:r>
              <w:rPr>
                <w:rFonts w:hint="eastAsia" w:ascii="宋体" w:hAnsi="宋体" w:eastAsia="宋体" w:cs="宋体"/>
                <w:b/>
                <w:bCs/>
                <w:i w:val="0"/>
                <w:iCs w:val="0"/>
                <w:snapToGrid w:val="0"/>
                <w:color w:val="000000"/>
                <w:kern w:val="0"/>
                <w:sz w:val="16"/>
                <w:szCs w:val="16"/>
                <w:u w:val="none"/>
                <w:lang w:val="en-US" w:eastAsia="zh-CN" w:bidi="ar"/>
              </w:rPr>
              <w:t>38.23</w:t>
            </w:r>
          </w:p>
        </w:tc>
        <w:tc>
          <w:tcPr>
            <w:tcW w:w="1524"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b/>
                <w:bCs/>
                <w:i w:val="0"/>
                <w:iCs w:val="0"/>
                <w:snapToGrid w:val="0"/>
                <w:color w:val="000000"/>
                <w:kern w:val="0"/>
                <w:sz w:val="16"/>
                <w:szCs w:val="16"/>
                <w:u w:val="none"/>
                <w:lang w:val="en-US" w:eastAsia="zh-CN" w:bidi="ar"/>
              </w:rPr>
            </w:pPr>
            <w:r>
              <w:rPr>
                <w:rFonts w:hint="eastAsia" w:ascii="宋体" w:hAnsi="宋体" w:eastAsia="宋体" w:cs="宋体"/>
                <w:b/>
                <w:bCs/>
                <w:i w:val="0"/>
                <w:iCs w:val="0"/>
                <w:snapToGrid w:val="0"/>
                <w:color w:val="000000"/>
                <w:kern w:val="0"/>
                <w:sz w:val="16"/>
                <w:szCs w:val="16"/>
                <w:u w:val="none"/>
                <w:lang w:val="en-US" w:eastAsia="zh-CN" w:bidi="ar"/>
              </w:rPr>
              <w:t>45.01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jc w:val="center"/>
        </w:trPr>
        <w:tc>
          <w:tcPr>
            <w:tcW w:w="97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208</w:t>
            </w:r>
          </w:p>
        </w:tc>
        <w:tc>
          <w:tcPr>
            <w:tcW w:w="355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社会保障和就业支出</w:t>
            </w:r>
          </w:p>
        </w:tc>
        <w:tc>
          <w:tcPr>
            <w:tcW w:w="184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b/>
                <w:bCs/>
                <w:i w:val="0"/>
                <w:iCs w:val="0"/>
                <w:snapToGrid w:val="0"/>
                <w:color w:val="000000"/>
                <w:kern w:val="0"/>
                <w:sz w:val="16"/>
                <w:szCs w:val="16"/>
                <w:u w:val="none"/>
                <w:lang w:val="en-US" w:eastAsia="zh-CN" w:bidi="ar"/>
              </w:rPr>
            </w:pPr>
          </w:p>
        </w:tc>
        <w:tc>
          <w:tcPr>
            <w:tcW w:w="167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b/>
                <w:bCs/>
                <w:i w:val="0"/>
                <w:iCs w:val="0"/>
                <w:snapToGrid w:val="0"/>
                <w:color w:val="000000"/>
                <w:kern w:val="0"/>
                <w:sz w:val="16"/>
                <w:szCs w:val="16"/>
                <w:u w:val="none"/>
                <w:lang w:val="en-US" w:eastAsia="zh-CN" w:bidi="ar"/>
              </w:rPr>
            </w:pPr>
          </w:p>
        </w:tc>
        <w:tc>
          <w:tcPr>
            <w:tcW w:w="1524"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b/>
                <w:bCs/>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jc w:val="center"/>
        </w:trPr>
        <w:tc>
          <w:tcPr>
            <w:tcW w:w="97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20805</w:t>
            </w:r>
          </w:p>
        </w:tc>
        <w:tc>
          <w:tcPr>
            <w:tcW w:w="355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行政事业单位养老支出</w:t>
            </w:r>
          </w:p>
        </w:tc>
        <w:tc>
          <w:tcPr>
            <w:tcW w:w="184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167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1524"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jc w:val="center"/>
        </w:trPr>
        <w:tc>
          <w:tcPr>
            <w:tcW w:w="97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2080505</w:t>
            </w:r>
          </w:p>
        </w:tc>
        <w:tc>
          <w:tcPr>
            <w:tcW w:w="355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机关事业单位基本养老保险缴费支出</w:t>
            </w:r>
          </w:p>
        </w:tc>
        <w:tc>
          <w:tcPr>
            <w:tcW w:w="184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167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1524"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jc w:val="center"/>
        </w:trPr>
        <w:tc>
          <w:tcPr>
            <w:tcW w:w="97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2080506</w:t>
            </w:r>
          </w:p>
        </w:tc>
        <w:tc>
          <w:tcPr>
            <w:tcW w:w="355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机关事业单位职业年金缴费支出</w:t>
            </w:r>
          </w:p>
        </w:tc>
        <w:tc>
          <w:tcPr>
            <w:tcW w:w="184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167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1524"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jc w:val="center"/>
        </w:trPr>
        <w:tc>
          <w:tcPr>
            <w:tcW w:w="97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210</w:t>
            </w:r>
          </w:p>
        </w:tc>
        <w:tc>
          <w:tcPr>
            <w:tcW w:w="355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卫生健康支出</w:t>
            </w:r>
          </w:p>
        </w:tc>
        <w:tc>
          <w:tcPr>
            <w:tcW w:w="184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b/>
                <w:bCs/>
                <w:i w:val="0"/>
                <w:iCs w:val="0"/>
                <w:snapToGrid w:val="0"/>
                <w:color w:val="000000"/>
                <w:kern w:val="0"/>
                <w:sz w:val="16"/>
                <w:szCs w:val="16"/>
                <w:u w:val="none"/>
                <w:lang w:val="en-US" w:eastAsia="zh-CN" w:bidi="ar"/>
              </w:rPr>
            </w:pPr>
          </w:p>
        </w:tc>
        <w:tc>
          <w:tcPr>
            <w:tcW w:w="167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b/>
                <w:bCs/>
                <w:i w:val="0"/>
                <w:iCs w:val="0"/>
                <w:snapToGrid w:val="0"/>
                <w:color w:val="000000"/>
                <w:kern w:val="0"/>
                <w:sz w:val="16"/>
                <w:szCs w:val="16"/>
                <w:u w:val="none"/>
                <w:lang w:val="en-US" w:eastAsia="zh-CN" w:bidi="ar"/>
              </w:rPr>
            </w:pPr>
          </w:p>
        </w:tc>
        <w:tc>
          <w:tcPr>
            <w:tcW w:w="1524"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b/>
                <w:bCs/>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jc w:val="center"/>
        </w:trPr>
        <w:tc>
          <w:tcPr>
            <w:tcW w:w="97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21011</w:t>
            </w:r>
          </w:p>
        </w:tc>
        <w:tc>
          <w:tcPr>
            <w:tcW w:w="355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行政事业单位医疗</w:t>
            </w:r>
          </w:p>
        </w:tc>
        <w:tc>
          <w:tcPr>
            <w:tcW w:w="184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167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1524"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jc w:val="center"/>
        </w:trPr>
        <w:tc>
          <w:tcPr>
            <w:tcW w:w="97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2101101</w:t>
            </w:r>
          </w:p>
        </w:tc>
        <w:tc>
          <w:tcPr>
            <w:tcW w:w="355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行政单位医疗</w:t>
            </w:r>
          </w:p>
        </w:tc>
        <w:tc>
          <w:tcPr>
            <w:tcW w:w="184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167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1524"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jc w:val="center"/>
        </w:trPr>
        <w:tc>
          <w:tcPr>
            <w:tcW w:w="97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2101199</w:t>
            </w:r>
          </w:p>
        </w:tc>
        <w:tc>
          <w:tcPr>
            <w:tcW w:w="355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其他行政事业单位医疗支出</w:t>
            </w:r>
          </w:p>
        </w:tc>
        <w:tc>
          <w:tcPr>
            <w:tcW w:w="184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167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1524"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jc w:val="center"/>
        </w:trPr>
        <w:tc>
          <w:tcPr>
            <w:tcW w:w="97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221</w:t>
            </w:r>
          </w:p>
        </w:tc>
        <w:tc>
          <w:tcPr>
            <w:tcW w:w="355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住房保障支出</w:t>
            </w:r>
          </w:p>
        </w:tc>
        <w:tc>
          <w:tcPr>
            <w:tcW w:w="184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b/>
                <w:bCs/>
                <w:i w:val="0"/>
                <w:iCs w:val="0"/>
                <w:snapToGrid w:val="0"/>
                <w:color w:val="000000"/>
                <w:kern w:val="0"/>
                <w:sz w:val="16"/>
                <w:szCs w:val="16"/>
                <w:u w:val="none"/>
                <w:lang w:val="en-US" w:eastAsia="zh-CN" w:bidi="ar"/>
              </w:rPr>
            </w:pPr>
          </w:p>
        </w:tc>
        <w:tc>
          <w:tcPr>
            <w:tcW w:w="167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b/>
                <w:bCs/>
                <w:i w:val="0"/>
                <w:iCs w:val="0"/>
                <w:snapToGrid w:val="0"/>
                <w:color w:val="000000"/>
                <w:kern w:val="0"/>
                <w:sz w:val="16"/>
                <w:szCs w:val="16"/>
                <w:u w:val="none"/>
                <w:lang w:val="en-US" w:eastAsia="zh-CN" w:bidi="ar"/>
              </w:rPr>
            </w:pPr>
          </w:p>
        </w:tc>
        <w:tc>
          <w:tcPr>
            <w:tcW w:w="1524"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b/>
                <w:bCs/>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jc w:val="center"/>
        </w:trPr>
        <w:tc>
          <w:tcPr>
            <w:tcW w:w="97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22102</w:t>
            </w:r>
          </w:p>
        </w:tc>
        <w:tc>
          <w:tcPr>
            <w:tcW w:w="355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住房改革支出</w:t>
            </w:r>
          </w:p>
        </w:tc>
        <w:tc>
          <w:tcPr>
            <w:tcW w:w="184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167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1524"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jc w:val="center"/>
        </w:trPr>
        <w:tc>
          <w:tcPr>
            <w:tcW w:w="97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2210201</w:t>
            </w:r>
          </w:p>
        </w:tc>
        <w:tc>
          <w:tcPr>
            <w:tcW w:w="355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住房公积金</w:t>
            </w:r>
          </w:p>
        </w:tc>
        <w:tc>
          <w:tcPr>
            <w:tcW w:w="184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167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1524"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jc w:val="center"/>
        </w:trPr>
        <w:tc>
          <w:tcPr>
            <w:tcW w:w="97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224</w:t>
            </w:r>
          </w:p>
        </w:tc>
        <w:tc>
          <w:tcPr>
            <w:tcW w:w="355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灾害防治及应急管理支出</w:t>
            </w:r>
          </w:p>
        </w:tc>
        <w:tc>
          <w:tcPr>
            <w:tcW w:w="184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b/>
                <w:bCs/>
                <w:i w:val="0"/>
                <w:iCs w:val="0"/>
                <w:snapToGrid w:val="0"/>
                <w:color w:val="000000"/>
                <w:kern w:val="0"/>
                <w:sz w:val="16"/>
                <w:szCs w:val="16"/>
                <w:u w:val="none"/>
                <w:lang w:val="en-US" w:eastAsia="zh-CN" w:bidi="ar"/>
              </w:rPr>
            </w:pPr>
            <w:r>
              <w:rPr>
                <w:rFonts w:hint="eastAsia" w:ascii="宋体" w:hAnsi="宋体" w:eastAsia="宋体" w:cs="宋体"/>
                <w:b/>
                <w:bCs/>
                <w:i w:val="0"/>
                <w:iCs w:val="0"/>
                <w:snapToGrid w:val="0"/>
                <w:color w:val="000000"/>
                <w:kern w:val="0"/>
                <w:sz w:val="16"/>
                <w:szCs w:val="16"/>
                <w:u w:val="none"/>
                <w:lang w:val="en-US" w:eastAsia="zh-CN" w:bidi="ar"/>
              </w:rPr>
              <w:t>83.24</w:t>
            </w:r>
          </w:p>
        </w:tc>
        <w:tc>
          <w:tcPr>
            <w:tcW w:w="167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b/>
                <w:bCs/>
                <w:i w:val="0"/>
                <w:iCs w:val="0"/>
                <w:snapToGrid w:val="0"/>
                <w:color w:val="000000"/>
                <w:kern w:val="0"/>
                <w:sz w:val="16"/>
                <w:szCs w:val="16"/>
                <w:u w:val="none"/>
                <w:lang w:val="en-US" w:eastAsia="zh-CN" w:bidi="ar"/>
              </w:rPr>
            </w:pPr>
            <w:r>
              <w:rPr>
                <w:rFonts w:hint="eastAsia" w:ascii="宋体" w:hAnsi="宋体" w:eastAsia="宋体" w:cs="宋体"/>
                <w:b/>
                <w:bCs/>
                <w:i w:val="0"/>
                <w:iCs w:val="0"/>
                <w:snapToGrid w:val="0"/>
                <w:color w:val="000000"/>
                <w:kern w:val="0"/>
                <w:sz w:val="16"/>
                <w:szCs w:val="16"/>
                <w:u w:val="none"/>
                <w:lang w:val="en-US" w:eastAsia="zh-CN" w:bidi="ar"/>
              </w:rPr>
              <w:t>38.23</w:t>
            </w:r>
          </w:p>
        </w:tc>
        <w:tc>
          <w:tcPr>
            <w:tcW w:w="1524"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b/>
                <w:bCs/>
                <w:i w:val="0"/>
                <w:iCs w:val="0"/>
                <w:snapToGrid w:val="0"/>
                <w:color w:val="000000"/>
                <w:kern w:val="0"/>
                <w:sz w:val="16"/>
                <w:szCs w:val="16"/>
                <w:u w:val="none"/>
                <w:lang w:val="en-US" w:eastAsia="zh-CN" w:bidi="ar"/>
              </w:rPr>
            </w:pPr>
            <w:r>
              <w:rPr>
                <w:rFonts w:hint="eastAsia" w:ascii="宋体" w:hAnsi="宋体" w:eastAsia="宋体" w:cs="宋体"/>
                <w:b/>
                <w:bCs/>
                <w:i w:val="0"/>
                <w:iCs w:val="0"/>
                <w:snapToGrid w:val="0"/>
                <w:color w:val="000000"/>
                <w:kern w:val="0"/>
                <w:sz w:val="16"/>
                <w:szCs w:val="16"/>
                <w:u w:val="none"/>
                <w:lang w:val="en-US" w:eastAsia="zh-CN" w:bidi="ar"/>
              </w:rPr>
              <w:t>45.01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jc w:val="center"/>
        </w:trPr>
        <w:tc>
          <w:tcPr>
            <w:tcW w:w="97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22402</w:t>
            </w:r>
          </w:p>
        </w:tc>
        <w:tc>
          <w:tcPr>
            <w:tcW w:w="355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消防救援事务</w:t>
            </w:r>
          </w:p>
        </w:tc>
        <w:tc>
          <w:tcPr>
            <w:tcW w:w="184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83.24</w:t>
            </w:r>
          </w:p>
        </w:tc>
        <w:tc>
          <w:tcPr>
            <w:tcW w:w="167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38.23</w:t>
            </w:r>
          </w:p>
        </w:tc>
        <w:tc>
          <w:tcPr>
            <w:tcW w:w="1524"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45.01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jc w:val="center"/>
        </w:trPr>
        <w:tc>
          <w:tcPr>
            <w:tcW w:w="97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2240201</w:t>
            </w:r>
          </w:p>
        </w:tc>
        <w:tc>
          <w:tcPr>
            <w:tcW w:w="355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行政运行</w:t>
            </w:r>
          </w:p>
        </w:tc>
        <w:tc>
          <w:tcPr>
            <w:tcW w:w="184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38.23</w:t>
            </w:r>
          </w:p>
        </w:tc>
        <w:tc>
          <w:tcPr>
            <w:tcW w:w="167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38.23</w:t>
            </w:r>
          </w:p>
        </w:tc>
        <w:tc>
          <w:tcPr>
            <w:tcW w:w="1524"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jc w:val="center"/>
        </w:trPr>
        <w:tc>
          <w:tcPr>
            <w:tcW w:w="97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2240204</w:t>
            </w:r>
          </w:p>
        </w:tc>
        <w:tc>
          <w:tcPr>
            <w:tcW w:w="355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消防应急救援</w:t>
            </w:r>
          </w:p>
        </w:tc>
        <w:tc>
          <w:tcPr>
            <w:tcW w:w="184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45.01</w:t>
            </w:r>
          </w:p>
        </w:tc>
        <w:tc>
          <w:tcPr>
            <w:tcW w:w="167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1524"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45.01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jc w:val="center"/>
        </w:trPr>
        <w:tc>
          <w:tcPr>
            <w:tcW w:w="97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2240299</w:t>
            </w:r>
          </w:p>
        </w:tc>
        <w:tc>
          <w:tcPr>
            <w:tcW w:w="355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其他消防救援事务支出</w:t>
            </w:r>
          </w:p>
        </w:tc>
        <w:tc>
          <w:tcPr>
            <w:tcW w:w="184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167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c>
          <w:tcPr>
            <w:tcW w:w="1524"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 w:hRule="atLeast"/>
          <w:jc w:val="center"/>
        </w:trPr>
        <w:tc>
          <w:tcPr>
            <w:tcW w:w="9580" w:type="dxa"/>
            <w:gridSpan w:val="7"/>
            <w:tcBorders>
              <w:top w:val="nil"/>
              <w:left w:val="nil"/>
              <w:bottom w:val="nil"/>
              <w:right w:val="nil"/>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注：本表反映部门本年度一般公共预算财政拨款支出情况。</w:t>
            </w:r>
          </w:p>
        </w:tc>
      </w:tr>
    </w:tbl>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pPr>
        <w:keepNext w:val="0"/>
        <w:keepLines w:val="0"/>
        <w:pageBreakBefore w:val="0"/>
        <w:widowControl/>
        <w:kinsoku/>
        <w:wordWrap/>
        <w:topLinePunct w:val="0"/>
        <w:bidi w:val="0"/>
        <w:rPr>
          <w:rFonts w:hint="default" w:ascii="Times New Roman" w:hAnsi="Times New Roman" w:eastAsia="宋体" w:cs="Times New Roman"/>
          <w:color w:val="auto"/>
          <w:highlight w:val="none"/>
          <w:lang w:val="en-US" w:eastAsia="zh-CN"/>
        </w:rPr>
      </w:pPr>
    </w:p>
    <w:tbl>
      <w:tblPr>
        <w:tblStyle w:val="11"/>
        <w:tblW w:w="949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5"/>
        <w:gridCol w:w="1628"/>
        <w:gridCol w:w="972"/>
        <w:gridCol w:w="680"/>
        <w:gridCol w:w="1530"/>
        <w:gridCol w:w="970"/>
        <w:gridCol w:w="720"/>
        <w:gridCol w:w="1522"/>
        <w:gridCol w:w="8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493" w:type="dxa"/>
            <w:gridSpan w:val="9"/>
            <w:tcBorders>
              <w:top w:val="nil"/>
              <w:left w:val="nil"/>
              <w:bottom w:val="nil"/>
              <w:right w:val="nil"/>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eastAsia" w:ascii="宋体" w:hAnsi="宋体" w:eastAsia="宋体" w:cs="宋体"/>
                <w:i w:val="0"/>
                <w:iCs w:val="0"/>
                <w:snapToGrid w:val="0"/>
                <w:color w:val="auto"/>
                <w:kern w:val="0"/>
                <w:sz w:val="32"/>
                <w:szCs w:val="32"/>
                <w:highlight w:val="none"/>
                <w:u w:val="none"/>
                <w:lang w:val="en-US" w:eastAsia="zh-CN" w:bidi="ar"/>
              </w:rPr>
              <w:t>一般公共预算财政拨款基本支出决算明细表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rPr>
                <w:rFonts w:hint="eastAsia" w:ascii="宋体" w:hAnsi="宋体" w:eastAsia="宋体" w:cs="宋体"/>
                <w:i w:val="0"/>
                <w:iCs w:val="0"/>
                <w:color w:val="auto"/>
                <w:sz w:val="16"/>
                <w:szCs w:val="16"/>
                <w:highlight w:val="none"/>
                <w:u w:val="none"/>
              </w:rPr>
            </w:pPr>
          </w:p>
        </w:tc>
        <w:tc>
          <w:tcPr>
            <w:tcW w:w="1628" w:type="dxa"/>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rPr>
                <w:rFonts w:hint="eastAsia" w:ascii="宋体" w:hAnsi="宋体" w:eastAsia="宋体" w:cs="宋体"/>
                <w:i w:val="0"/>
                <w:iCs w:val="0"/>
                <w:color w:val="auto"/>
                <w:sz w:val="16"/>
                <w:szCs w:val="16"/>
                <w:highlight w:val="none"/>
                <w:u w:val="none"/>
              </w:rPr>
            </w:pPr>
          </w:p>
        </w:tc>
        <w:tc>
          <w:tcPr>
            <w:tcW w:w="972" w:type="dxa"/>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rPr>
                <w:rFonts w:hint="eastAsia" w:ascii="宋体" w:hAnsi="宋体" w:eastAsia="宋体" w:cs="宋体"/>
                <w:i w:val="0"/>
                <w:iCs w:val="0"/>
                <w:color w:val="auto"/>
                <w:sz w:val="16"/>
                <w:szCs w:val="16"/>
                <w:highlight w:val="none"/>
                <w:u w:val="none"/>
              </w:rPr>
            </w:pPr>
          </w:p>
        </w:tc>
        <w:tc>
          <w:tcPr>
            <w:tcW w:w="680" w:type="dxa"/>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rPr>
                <w:rFonts w:hint="eastAsia" w:ascii="宋体" w:hAnsi="宋体" w:eastAsia="宋体" w:cs="宋体"/>
                <w:i w:val="0"/>
                <w:iCs w:val="0"/>
                <w:color w:val="auto"/>
                <w:sz w:val="16"/>
                <w:szCs w:val="16"/>
                <w:highlight w:val="none"/>
                <w:u w:val="none"/>
              </w:rPr>
            </w:pPr>
          </w:p>
        </w:tc>
        <w:tc>
          <w:tcPr>
            <w:tcW w:w="1530" w:type="dxa"/>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rPr>
                <w:rFonts w:hint="eastAsia" w:ascii="宋体" w:hAnsi="宋体" w:eastAsia="宋体" w:cs="宋体"/>
                <w:i w:val="0"/>
                <w:iCs w:val="0"/>
                <w:color w:val="auto"/>
                <w:sz w:val="16"/>
                <w:szCs w:val="16"/>
                <w:highlight w:val="none"/>
                <w:u w:val="none"/>
              </w:rPr>
            </w:pPr>
          </w:p>
        </w:tc>
        <w:tc>
          <w:tcPr>
            <w:tcW w:w="970" w:type="dxa"/>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rPr>
                <w:rFonts w:hint="eastAsia" w:ascii="宋体" w:hAnsi="宋体" w:eastAsia="宋体" w:cs="宋体"/>
                <w:i w:val="0"/>
                <w:iCs w:val="0"/>
                <w:color w:val="auto"/>
                <w:sz w:val="16"/>
                <w:szCs w:val="16"/>
                <w:highlight w:val="none"/>
                <w:u w:val="none"/>
              </w:rPr>
            </w:pPr>
          </w:p>
        </w:tc>
        <w:tc>
          <w:tcPr>
            <w:tcW w:w="720" w:type="dxa"/>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rPr>
                <w:rFonts w:hint="eastAsia" w:ascii="宋体" w:hAnsi="宋体" w:eastAsia="宋体" w:cs="宋体"/>
                <w:i w:val="0"/>
                <w:iCs w:val="0"/>
                <w:color w:val="auto"/>
                <w:sz w:val="16"/>
                <w:szCs w:val="16"/>
                <w:highlight w:val="none"/>
                <w:u w:val="none"/>
              </w:rPr>
            </w:pPr>
          </w:p>
        </w:tc>
        <w:tc>
          <w:tcPr>
            <w:tcW w:w="2358" w:type="dxa"/>
            <w:gridSpan w:val="2"/>
            <w:tcBorders>
              <w:top w:val="nil"/>
              <w:left w:val="nil"/>
              <w:bottom w:val="nil"/>
              <w:right w:val="nil"/>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3915" w:type="dxa"/>
            <w:gridSpan w:val="4"/>
            <w:tcBorders>
              <w:top w:val="nil"/>
              <w:left w:val="nil"/>
              <w:bottom w:val="nil"/>
              <w:right w:val="nil"/>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部门：资兴市消防救援大队</w:t>
            </w:r>
          </w:p>
        </w:tc>
        <w:tc>
          <w:tcPr>
            <w:tcW w:w="1530" w:type="dxa"/>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auto"/>
                <w:sz w:val="16"/>
                <w:szCs w:val="16"/>
                <w:highlight w:val="none"/>
                <w:u w:val="none"/>
                <w:lang w:val="en-US" w:eastAsia="zh-CN"/>
              </w:rPr>
            </w:pPr>
            <w:r>
              <w:rPr>
                <w:rFonts w:hint="eastAsia" w:ascii="宋体" w:hAnsi="宋体" w:eastAsia="宋体" w:cs="宋体"/>
                <w:i w:val="0"/>
                <w:iCs w:val="0"/>
                <w:color w:val="auto"/>
                <w:sz w:val="16"/>
                <w:szCs w:val="16"/>
                <w:highlight w:val="none"/>
                <w:u w:val="none"/>
                <w:lang w:val="en-US" w:eastAsia="zh-CN"/>
              </w:rPr>
              <w:t xml:space="preserve">    </w:t>
            </w:r>
          </w:p>
        </w:tc>
        <w:tc>
          <w:tcPr>
            <w:tcW w:w="970" w:type="dxa"/>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rPr>
                <w:rFonts w:hint="eastAsia" w:ascii="宋体" w:hAnsi="宋体" w:eastAsia="宋体" w:cs="宋体"/>
                <w:i w:val="0"/>
                <w:iCs w:val="0"/>
                <w:color w:val="auto"/>
                <w:sz w:val="16"/>
                <w:szCs w:val="16"/>
                <w:highlight w:val="none"/>
                <w:u w:val="none"/>
              </w:rPr>
            </w:pPr>
          </w:p>
        </w:tc>
        <w:tc>
          <w:tcPr>
            <w:tcW w:w="720" w:type="dxa"/>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rPr>
                <w:rFonts w:hint="eastAsia" w:ascii="宋体" w:hAnsi="宋体" w:eastAsia="宋体" w:cs="宋体"/>
                <w:i w:val="0"/>
                <w:iCs w:val="0"/>
                <w:color w:val="auto"/>
                <w:sz w:val="16"/>
                <w:szCs w:val="16"/>
                <w:highlight w:val="none"/>
                <w:u w:val="none"/>
              </w:rPr>
            </w:pPr>
          </w:p>
        </w:tc>
        <w:tc>
          <w:tcPr>
            <w:tcW w:w="2358" w:type="dxa"/>
            <w:gridSpan w:val="2"/>
            <w:tcBorders>
              <w:top w:val="nil"/>
              <w:left w:val="nil"/>
              <w:bottom w:val="nil"/>
              <w:right w:val="nil"/>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63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科目代码</w:t>
            </w:r>
          </w:p>
        </w:tc>
        <w:tc>
          <w:tcPr>
            <w:tcW w:w="1628"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科目名称</w:t>
            </w:r>
          </w:p>
        </w:tc>
        <w:tc>
          <w:tcPr>
            <w:tcW w:w="972"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决算数</w:t>
            </w:r>
          </w:p>
        </w:tc>
        <w:tc>
          <w:tcPr>
            <w:tcW w:w="680"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科目代码</w:t>
            </w:r>
          </w:p>
        </w:tc>
        <w:tc>
          <w:tcPr>
            <w:tcW w:w="1530"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科目名称</w:t>
            </w:r>
          </w:p>
        </w:tc>
        <w:tc>
          <w:tcPr>
            <w:tcW w:w="970"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决算数</w:t>
            </w:r>
          </w:p>
        </w:tc>
        <w:tc>
          <w:tcPr>
            <w:tcW w:w="720"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科目 代码</w:t>
            </w:r>
          </w:p>
        </w:tc>
        <w:tc>
          <w:tcPr>
            <w:tcW w:w="1522"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科目名称</w:t>
            </w:r>
          </w:p>
        </w:tc>
        <w:tc>
          <w:tcPr>
            <w:tcW w:w="836"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auto"/>
                <w:sz w:val="16"/>
                <w:szCs w:val="16"/>
                <w:highlight w:val="none"/>
                <w:u w:val="none"/>
              </w:rPr>
            </w:pPr>
          </w:p>
        </w:tc>
        <w:tc>
          <w:tcPr>
            <w:tcW w:w="1628" w:type="dxa"/>
            <w:vMerge w:val="continue"/>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auto"/>
                <w:sz w:val="16"/>
                <w:szCs w:val="16"/>
                <w:highlight w:val="none"/>
                <w:u w:val="none"/>
              </w:rPr>
            </w:pPr>
          </w:p>
        </w:tc>
        <w:tc>
          <w:tcPr>
            <w:tcW w:w="972" w:type="dxa"/>
            <w:vMerge w:val="continue"/>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auto"/>
                <w:sz w:val="16"/>
                <w:szCs w:val="16"/>
                <w:highlight w:val="none"/>
                <w:u w:val="none"/>
              </w:rPr>
            </w:pPr>
          </w:p>
        </w:tc>
        <w:tc>
          <w:tcPr>
            <w:tcW w:w="680" w:type="dxa"/>
            <w:vMerge w:val="continue"/>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auto"/>
                <w:sz w:val="16"/>
                <w:szCs w:val="16"/>
                <w:highlight w:val="none"/>
                <w:u w:val="none"/>
              </w:rPr>
            </w:pPr>
          </w:p>
        </w:tc>
        <w:tc>
          <w:tcPr>
            <w:tcW w:w="1530" w:type="dxa"/>
            <w:vMerge w:val="continue"/>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auto"/>
                <w:sz w:val="16"/>
                <w:szCs w:val="16"/>
                <w:highlight w:val="none"/>
                <w:u w:val="none"/>
              </w:rPr>
            </w:pPr>
          </w:p>
        </w:tc>
        <w:tc>
          <w:tcPr>
            <w:tcW w:w="970" w:type="dxa"/>
            <w:vMerge w:val="continue"/>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auto"/>
                <w:sz w:val="16"/>
                <w:szCs w:val="16"/>
                <w:highlight w:val="none"/>
                <w:u w:val="none"/>
              </w:rPr>
            </w:pPr>
          </w:p>
        </w:tc>
        <w:tc>
          <w:tcPr>
            <w:tcW w:w="720" w:type="dxa"/>
            <w:vMerge w:val="continue"/>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auto"/>
                <w:sz w:val="16"/>
                <w:szCs w:val="16"/>
                <w:highlight w:val="none"/>
                <w:u w:val="none"/>
              </w:rPr>
            </w:pPr>
          </w:p>
        </w:tc>
        <w:tc>
          <w:tcPr>
            <w:tcW w:w="1522" w:type="dxa"/>
            <w:vMerge w:val="continue"/>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auto"/>
                <w:sz w:val="16"/>
                <w:szCs w:val="16"/>
                <w:highlight w:val="none"/>
                <w:u w:val="none"/>
              </w:rPr>
            </w:pPr>
          </w:p>
        </w:tc>
        <w:tc>
          <w:tcPr>
            <w:tcW w:w="836" w:type="dxa"/>
            <w:vMerge w:val="continue"/>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b/>
                <w:bCs/>
                <w:i w:val="0"/>
                <w:iCs w:val="0"/>
                <w:color w:val="auto"/>
                <w:sz w:val="16"/>
                <w:szCs w:val="16"/>
                <w:highlight w:val="none"/>
                <w:u w:val="none"/>
              </w:rPr>
            </w:pPr>
            <w:r>
              <w:rPr>
                <w:rFonts w:hint="eastAsia" w:ascii="宋体" w:hAnsi="宋体" w:eastAsia="宋体" w:cs="宋体"/>
                <w:b/>
                <w:bCs/>
                <w:i w:val="0"/>
                <w:iCs w:val="0"/>
                <w:snapToGrid w:val="0"/>
                <w:color w:val="auto"/>
                <w:kern w:val="0"/>
                <w:sz w:val="16"/>
                <w:szCs w:val="16"/>
                <w:highlight w:val="none"/>
                <w:u w:val="none"/>
                <w:lang w:val="en-US" w:eastAsia="zh-CN" w:bidi="ar"/>
              </w:rPr>
              <w:t>301</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b/>
                <w:bCs/>
                <w:i w:val="0"/>
                <w:iCs w:val="0"/>
                <w:color w:val="auto"/>
                <w:sz w:val="16"/>
                <w:szCs w:val="16"/>
                <w:highlight w:val="none"/>
                <w:u w:val="none"/>
              </w:rPr>
            </w:pPr>
            <w:r>
              <w:rPr>
                <w:rFonts w:hint="eastAsia" w:ascii="宋体" w:hAnsi="宋体" w:eastAsia="宋体" w:cs="宋体"/>
                <w:b/>
                <w:bCs/>
                <w:i w:val="0"/>
                <w:iCs w:val="0"/>
                <w:snapToGrid w:val="0"/>
                <w:color w:val="auto"/>
                <w:kern w:val="0"/>
                <w:sz w:val="16"/>
                <w:szCs w:val="16"/>
                <w:highlight w:val="none"/>
                <w:u w:val="none"/>
                <w:lang w:val="en-US" w:eastAsia="zh-CN" w:bidi="ar"/>
              </w:rPr>
              <w:t>工资福利支出</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b/>
                <w:bCs/>
                <w:i w:val="0"/>
                <w:iCs w:val="0"/>
                <w:color w:val="auto"/>
                <w:sz w:val="16"/>
                <w:szCs w:val="16"/>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b/>
                <w:bCs/>
                <w:i w:val="0"/>
                <w:iCs w:val="0"/>
                <w:color w:val="auto"/>
                <w:sz w:val="16"/>
                <w:szCs w:val="16"/>
                <w:highlight w:val="none"/>
                <w:u w:val="none"/>
              </w:rPr>
            </w:pPr>
            <w:r>
              <w:rPr>
                <w:rFonts w:hint="eastAsia" w:ascii="宋体" w:hAnsi="宋体" w:eastAsia="宋体" w:cs="宋体"/>
                <w:b/>
                <w:bCs/>
                <w:i w:val="0"/>
                <w:iCs w:val="0"/>
                <w:snapToGrid w:val="0"/>
                <w:color w:val="auto"/>
                <w:kern w:val="0"/>
                <w:sz w:val="16"/>
                <w:szCs w:val="16"/>
                <w:highlight w:val="none"/>
                <w:u w:val="none"/>
                <w:lang w:val="en-US" w:eastAsia="zh-CN" w:bidi="ar"/>
              </w:rPr>
              <w:t>302</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b/>
                <w:bCs/>
                <w:i w:val="0"/>
                <w:iCs w:val="0"/>
                <w:color w:val="auto"/>
                <w:sz w:val="16"/>
                <w:szCs w:val="16"/>
                <w:highlight w:val="none"/>
                <w:u w:val="none"/>
              </w:rPr>
            </w:pPr>
            <w:r>
              <w:rPr>
                <w:rFonts w:hint="eastAsia" w:ascii="宋体" w:hAnsi="宋体" w:eastAsia="宋体" w:cs="宋体"/>
                <w:b/>
                <w:bCs/>
                <w:i w:val="0"/>
                <w:iCs w:val="0"/>
                <w:snapToGrid w:val="0"/>
                <w:color w:val="auto"/>
                <w:kern w:val="0"/>
                <w:sz w:val="16"/>
                <w:szCs w:val="16"/>
                <w:highlight w:val="none"/>
                <w:u w:val="none"/>
                <w:lang w:val="en-US" w:eastAsia="zh-CN" w:bidi="ar"/>
              </w:rPr>
              <w:t>商品和服务支出</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b/>
                <w:bCs/>
                <w:i w:val="0"/>
                <w:iCs w:val="0"/>
                <w:color w:val="auto"/>
                <w:sz w:val="16"/>
                <w:szCs w:val="16"/>
                <w:highlight w:val="none"/>
                <w:u w:val="none"/>
              </w:rPr>
            </w:pPr>
            <w:r>
              <w:rPr>
                <w:rFonts w:hint="eastAsia" w:ascii="宋体" w:hAnsi="宋体" w:eastAsia="宋体" w:cs="宋体"/>
                <w:b/>
                <w:bCs/>
                <w:i w:val="0"/>
                <w:iCs w:val="0"/>
                <w:color w:val="auto"/>
                <w:sz w:val="16"/>
                <w:szCs w:val="16"/>
                <w:highlight w:val="none"/>
                <w:u w:val="none"/>
              </w:rPr>
              <w:t>38.23</w:t>
            </w: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b/>
                <w:bCs/>
                <w:i w:val="0"/>
                <w:iCs w:val="0"/>
                <w:color w:val="auto"/>
                <w:sz w:val="16"/>
                <w:szCs w:val="16"/>
                <w:highlight w:val="none"/>
                <w:u w:val="none"/>
              </w:rPr>
            </w:pPr>
            <w:r>
              <w:rPr>
                <w:rFonts w:hint="eastAsia" w:ascii="宋体" w:hAnsi="宋体" w:eastAsia="宋体" w:cs="宋体"/>
                <w:b/>
                <w:bCs/>
                <w:i w:val="0"/>
                <w:iCs w:val="0"/>
                <w:snapToGrid w:val="0"/>
                <w:color w:val="auto"/>
                <w:kern w:val="0"/>
                <w:sz w:val="16"/>
                <w:szCs w:val="16"/>
                <w:highlight w:val="none"/>
                <w:u w:val="none"/>
                <w:lang w:val="en-US" w:eastAsia="zh-CN" w:bidi="ar"/>
              </w:rPr>
              <w:t>307</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b/>
                <w:bCs/>
                <w:i w:val="0"/>
                <w:iCs w:val="0"/>
                <w:color w:val="auto"/>
                <w:sz w:val="16"/>
                <w:szCs w:val="16"/>
                <w:highlight w:val="none"/>
                <w:u w:val="none"/>
              </w:rPr>
            </w:pPr>
            <w:r>
              <w:rPr>
                <w:rFonts w:hint="eastAsia" w:ascii="宋体" w:hAnsi="宋体" w:eastAsia="宋体" w:cs="宋体"/>
                <w:b/>
                <w:bCs/>
                <w:i w:val="0"/>
                <w:iCs w:val="0"/>
                <w:snapToGrid w:val="0"/>
                <w:color w:val="auto"/>
                <w:kern w:val="0"/>
                <w:sz w:val="16"/>
                <w:szCs w:val="16"/>
                <w:highlight w:val="none"/>
                <w:u w:val="none"/>
                <w:lang w:val="en-US" w:eastAsia="zh-CN" w:bidi="ar"/>
              </w:rPr>
              <w:t>债务利息及费用支出</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b/>
                <w:bCs/>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30101</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基本工资</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30201</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办公费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color w:val="auto"/>
                <w:sz w:val="16"/>
                <w:szCs w:val="16"/>
                <w:highlight w:val="none"/>
                <w:u w:val="none"/>
              </w:rPr>
              <w:t>2.50</w:t>
            </w: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30701</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国内债务付息</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30102</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津贴补贴</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30202</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印刷费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30702</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国外债务付息</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30103</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奖金</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30204</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手续费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b/>
                <w:bCs/>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b/>
                <w:bCs/>
                <w:i w:val="0"/>
                <w:iCs w:val="0"/>
                <w:color w:val="auto"/>
                <w:sz w:val="16"/>
                <w:szCs w:val="16"/>
                <w:highlight w:val="none"/>
                <w:u w:val="none"/>
              </w:rPr>
            </w:pPr>
            <w:r>
              <w:rPr>
                <w:rFonts w:hint="eastAsia" w:ascii="宋体" w:hAnsi="宋体" w:eastAsia="宋体" w:cs="宋体"/>
                <w:b/>
                <w:bCs/>
                <w:i w:val="0"/>
                <w:iCs w:val="0"/>
                <w:snapToGrid w:val="0"/>
                <w:color w:val="auto"/>
                <w:kern w:val="0"/>
                <w:sz w:val="16"/>
                <w:szCs w:val="16"/>
                <w:highlight w:val="none"/>
                <w:u w:val="none"/>
                <w:lang w:val="en-US" w:eastAsia="zh-CN" w:bidi="ar"/>
              </w:rPr>
              <w:t>310</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b/>
                <w:bCs/>
                <w:i w:val="0"/>
                <w:iCs w:val="0"/>
                <w:color w:val="auto"/>
                <w:sz w:val="16"/>
                <w:szCs w:val="16"/>
                <w:highlight w:val="none"/>
                <w:u w:val="none"/>
              </w:rPr>
            </w:pPr>
            <w:r>
              <w:rPr>
                <w:rFonts w:hint="eastAsia" w:ascii="宋体" w:hAnsi="宋体" w:eastAsia="宋体" w:cs="宋体"/>
                <w:b/>
                <w:bCs/>
                <w:i w:val="0"/>
                <w:iCs w:val="0"/>
                <w:snapToGrid w:val="0"/>
                <w:color w:val="auto"/>
                <w:kern w:val="0"/>
                <w:sz w:val="16"/>
                <w:szCs w:val="16"/>
                <w:highlight w:val="none"/>
                <w:u w:val="none"/>
                <w:lang w:val="en-US" w:eastAsia="zh-CN" w:bidi="ar"/>
              </w:rPr>
              <w:t>资本性支出</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b/>
                <w:bCs/>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30106</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伙食补助费</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30205</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水费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31001</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房屋建筑物购建</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30107</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绩效工资</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30206</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电费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color w:val="auto"/>
                <w:sz w:val="16"/>
                <w:szCs w:val="16"/>
                <w:highlight w:val="none"/>
                <w:u w:val="none"/>
              </w:rPr>
              <w:t>20.00</w:t>
            </w: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31002</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办公设备购置</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30108</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机关事业单位基本养老保险缴费</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30207</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邮电费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31003</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专用设备购置</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30109</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职业年金缴费</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30208</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取暖费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31005</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基础设施建设</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30110</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职工基本医疗保险缴费</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30209</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物业管理费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31006</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大型修缮</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30111</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公务员医疗补助缴费</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30211</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差旅费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31007</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信息网络及软件购置更新</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30112</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其他社会保障缴费</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30212</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因公出国（境）费用</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31008</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物资储备</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30113</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住房公积金</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30213</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维修（护）费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31009</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土地补偿</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30114</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医疗费</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30214</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租赁费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31010</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安置补助</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30199</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其他工资福利支出</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30215</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会议费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31011</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地上附着物和青苗补偿</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b/>
                <w:bCs/>
                <w:i w:val="0"/>
                <w:iCs w:val="0"/>
                <w:color w:val="auto"/>
                <w:sz w:val="16"/>
                <w:szCs w:val="16"/>
                <w:highlight w:val="none"/>
                <w:u w:val="none"/>
              </w:rPr>
            </w:pPr>
            <w:r>
              <w:rPr>
                <w:rFonts w:hint="eastAsia" w:ascii="宋体" w:hAnsi="宋体" w:eastAsia="宋体" w:cs="宋体"/>
                <w:b/>
                <w:bCs/>
                <w:i w:val="0"/>
                <w:iCs w:val="0"/>
                <w:snapToGrid w:val="0"/>
                <w:color w:val="auto"/>
                <w:kern w:val="0"/>
                <w:sz w:val="16"/>
                <w:szCs w:val="16"/>
                <w:highlight w:val="none"/>
                <w:u w:val="none"/>
                <w:lang w:val="en-US" w:eastAsia="zh-CN" w:bidi="ar"/>
              </w:rPr>
              <w:t>303</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b/>
                <w:bCs/>
                <w:i w:val="0"/>
                <w:iCs w:val="0"/>
                <w:color w:val="auto"/>
                <w:sz w:val="16"/>
                <w:szCs w:val="16"/>
                <w:highlight w:val="none"/>
                <w:u w:val="none"/>
              </w:rPr>
            </w:pPr>
            <w:r>
              <w:rPr>
                <w:rFonts w:hint="eastAsia" w:ascii="宋体" w:hAnsi="宋体" w:eastAsia="宋体" w:cs="宋体"/>
                <w:b/>
                <w:bCs/>
                <w:i w:val="0"/>
                <w:iCs w:val="0"/>
                <w:snapToGrid w:val="0"/>
                <w:color w:val="auto"/>
                <w:kern w:val="0"/>
                <w:sz w:val="16"/>
                <w:szCs w:val="16"/>
                <w:highlight w:val="none"/>
                <w:u w:val="none"/>
                <w:lang w:val="en-US" w:eastAsia="zh-CN" w:bidi="ar"/>
              </w:rPr>
              <w:t>对个人和家庭的补助</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b/>
                <w:bCs/>
                <w:i w:val="0"/>
                <w:iCs w:val="0"/>
                <w:color w:val="auto"/>
                <w:sz w:val="16"/>
                <w:szCs w:val="16"/>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30216</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培训费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31012</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拆迁补偿</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30301</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离休费</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30217</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公务接待费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31013</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公务用车购置</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30302</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退休费</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30218</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专用材料费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31019</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其他交通工具购置</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30303</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退职（役）费</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30224</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被装购置费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31021</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文物和陈列品购置</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30304</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抚恤金</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30225</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专用燃料费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31022</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无形资产购置</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30305</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生活补助</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30226</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劳务费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31099</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其他资本性支出</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30306</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救济费</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30227</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委托业务费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b/>
                <w:bCs/>
                <w:i w:val="0"/>
                <w:iCs w:val="0"/>
                <w:color w:val="auto"/>
                <w:sz w:val="16"/>
                <w:szCs w:val="16"/>
                <w:highlight w:val="none"/>
                <w:u w:val="none"/>
              </w:rPr>
            </w:pPr>
            <w:r>
              <w:rPr>
                <w:rFonts w:hint="eastAsia" w:ascii="宋体" w:hAnsi="宋体" w:eastAsia="宋体" w:cs="宋体"/>
                <w:b/>
                <w:bCs/>
                <w:i w:val="0"/>
                <w:iCs w:val="0"/>
                <w:snapToGrid w:val="0"/>
                <w:color w:val="auto"/>
                <w:kern w:val="0"/>
                <w:sz w:val="16"/>
                <w:szCs w:val="16"/>
                <w:highlight w:val="none"/>
                <w:u w:val="none"/>
                <w:lang w:val="en-US" w:eastAsia="zh-CN" w:bidi="ar"/>
              </w:rPr>
              <w:t>399</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b/>
                <w:bCs/>
                <w:i w:val="0"/>
                <w:iCs w:val="0"/>
                <w:color w:val="auto"/>
                <w:sz w:val="16"/>
                <w:szCs w:val="16"/>
                <w:highlight w:val="none"/>
                <w:u w:val="none"/>
              </w:rPr>
            </w:pPr>
            <w:r>
              <w:rPr>
                <w:rFonts w:hint="eastAsia" w:ascii="宋体" w:hAnsi="宋体" w:eastAsia="宋体" w:cs="宋体"/>
                <w:b/>
                <w:bCs/>
                <w:i w:val="0"/>
                <w:iCs w:val="0"/>
                <w:snapToGrid w:val="0"/>
                <w:color w:val="auto"/>
                <w:kern w:val="0"/>
                <w:sz w:val="16"/>
                <w:szCs w:val="16"/>
                <w:highlight w:val="none"/>
                <w:u w:val="none"/>
                <w:lang w:val="en-US" w:eastAsia="zh-CN" w:bidi="ar"/>
              </w:rPr>
              <w:t>其他支出</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b/>
                <w:bCs/>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30307</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医疗费补助</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30228</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工会经费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39907</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国家赔偿费用支出</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30308</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助学金</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30229</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福利费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39908</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对民间非营利组织和群众性自治组织补贴</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30309</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奖励金</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30231</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公务用车运行维护费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39909</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经常性赠与</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30310</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个人农业生产补贴</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30239</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其他交通费用</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39910</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资本性赠与</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30311</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代缴社会保险费</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30240</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税金及附加费用</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39999</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其他支出</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30399</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其他对个人和家庭的补助</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30299</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其他商品和服务支出</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color w:val="auto"/>
                <w:sz w:val="16"/>
                <w:szCs w:val="16"/>
                <w:highlight w:val="none"/>
                <w:u w:val="none"/>
              </w:rPr>
              <w:t>15.73</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auto"/>
                <w:sz w:val="16"/>
                <w:szCs w:val="16"/>
                <w:highlight w:val="none"/>
                <w:u w:val="none"/>
              </w:rPr>
            </w:pP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auto"/>
                <w:sz w:val="16"/>
                <w:szCs w:val="16"/>
                <w:highlight w:val="none"/>
                <w:u w:val="none"/>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left"/>
              <w:rPr>
                <w:rFonts w:hint="eastAsia" w:ascii="宋体" w:hAnsi="宋体" w:eastAsia="宋体" w:cs="宋体"/>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b/>
                <w:bCs/>
                <w:i w:val="0"/>
                <w:iCs w:val="0"/>
                <w:color w:val="auto"/>
                <w:sz w:val="16"/>
                <w:szCs w:val="16"/>
                <w:highlight w:val="none"/>
                <w:u w:val="none"/>
              </w:rPr>
            </w:pPr>
            <w:r>
              <w:rPr>
                <w:rFonts w:hint="eastAsia" w:ascii="宋体" w:hAnsi="宋体" w:eastAsia="宋体" w:cs="宋体"/>
                <w:b/>
                <w:bCs/>
                <w:i w:val="0"/>
                <w:iCs w:val="0"/>
                <w:snapToGrid w:val="0"/>
                <w:color w:val="auto"/>
                <w:kern w:val="0"/>
                <w:sz w:val="16"/>
                <w:szCs w:val="16"/>
                <w:highlight w:val="none"/>
                <w:u w:val="none"/>
                <w:lang w:val="en-US" w:eastAsia="zh-CN" w:bidi="ar"/>
              </w:rPr>
              <w:t>人员经费合计</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b/>
                <w:bCs/>
                <w:i w:val="0"/>
                <w:iCs w:val="0"/>
                <w:color w:val="auto"/>
                <w:sz w:val="16"/>
                <w:szCs w:val="16"/>
                <w:highlight w:val="none"/>
                <w:u w:val="none"/>
              </w:rPr>
            </w:pPr>
          </w:p>
        </w:tc>
        <w:tc>
          <w:tcPr>
            <w:tcW w:w="542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b/>
                <w:bCs/>
                <w:i w:val="0"/>
                <w:iCs w:val="0"/>
                <w:color w:val="auto"/>
                <w:sz w:val="16"/>
                <w:szCs w:val="16"/>
                <w:highlight w:val="none"/>
                <w:u w:val="none"/>
              </w:rPr>
            </w:pPr>
            <w:r>
              <w:rPr>
                <w:rFonts w:hint="eastAsia" w:ascii="宋体" w:hAnsi="宋体" w:eastAsia="宋体" w:cs="宋体"/>
                <w:b/>
                <w:bCs/>
                <w:i w:val="0"/>
                <w:iCs w:val="0"/>
                <w:snapToGrid w:val="0"/>
                <w:color w:val="auto"/>
                <w:kern w:val="0"/>
                <w:sz w:val="16"/>
                <w:szCs w:val="16"/>
                <w:highlight w:val="none"/>
                <w:u w:val="none"/>
                <w:lang w:val="en-US" w:eastAsia="zh-CN" w:bidi="ar"/>
              </w:rPr>
              <w:t>公用经费合计</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default" w:ascii="宋体" w:hAnsi="宋体" w:eastAsia="宋体" w:cs="宋体"/>
                <w:b/>
                <w:bCs/>
                <w:i w:val="0"/>
                <w:iCs w:val="0"/>
                <w:color w:val="auto"/>
                <w:sz w:val="16"/>
                <w:szCs w:val="16"/>
                <w:highlight w:val="none"/>
                <w:u w:val="none"/>
                <w:lang w:val="en-US" w:eastAsia="zh-CN"/>
              </w:rPr>
            </w:pPr>
            <w:r>
              <w:rPr>
                <w:rFonts w:hint="eastAsia" w:ascii="宋体" w:hAnsi="宋体" w:eastAsia="宋体" w:cs="宋体"/>
                <w:b/>
                <w:bCs/>
                <w:i w:val="0"/>
                <w:iCs w:val="0"/>
                <w:color w:val="auto"/>
                <w:sz w:val="16"/>
                <w:szCs w:val="16"/>
                <w:highlight w:val="none"/>
                <w:u w:val="none"/>
                <w:lang w:val="en-US" w:eastAsia="zh-CN"/>
              </w:rPr>
              <w:t>38.23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493" w:type="dxa"/>
            <w:gridSpan w:val="9"/>
            <w:tcBorders>
              <w:top w:val="nil"/>
              <w:left w:val="nil"/>
              <w:bottom w:val="nil"/>
              <w:right w:val="nil"/>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auto"/>
                <w:kern w:val="0"/>
                <w:sz w:val="16"/>
                <w:szCs w:val="16"/>
                <w:highlight w:val="none"/>
                <w:u w:val="none"/>
                <w:lang w:val="en-US" w:eastAsia="zh-CN" w:bidi="ar"/>
              </w:rPr>
            </w:pPr>
            <w:r>
              <w:rPr>
                <w:rFonts w:hint="eastAsia" w:ascii="宋体" w:hAnsi="宋体" w:eastAsia="宋体" w:cs="宋体"/>
                <w:i w:val="0"/>
                <w:iCs w:val="0"/>
                <w:snapToGrid w:val="0"/>
                <w:color w:val="auto"/>
                <w:kern w:val="0"/>
                <w:sz w:val="16"/>
                <w:szCs w:val="16"/>
                <w:highlight w:val="none"/>
                <w:u w:val="none"/>
                <w:lang w:val="en-US" w:eastAsia="zh-CN" w:bidi="ar"/>
              </w:rPr>
              <w:t>注：本表反映部门本年度一般公共预算财政拨款基本支出明细情况</w:t>
            </w:r>
          </w:p>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auto"/>
                <w:kern w:val="0"/>
                <w:sz w:val="16"/>
                <w:szCs w:val="16"/>
                <w:highlight w:val="none"/>
                <w:u w:val="none"/>
                <w:lang w:val="en-US" w:eastAsia="zh-CN" w:bidi="ar"/>
              </w:rPr>
            </w:pPr>
          </w:p>
        </w:tc>
      </w:tr>
    </w:tbl>
    <w:p>
      <w:pPr>
        <w:keepNext w:val="0"/>
        <w:keepLines w:val="0"/>
        <w:pageBreakBefore w:val="0"/>
        <w:widowControl/>
        <w:kinsoku/>
        <w:wordWrap/>
        <w:topLinePunct w:val="0"/>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 </w:t>
      </w: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pPr>
        <w:keepNext w:val="0"/>
        <w:keepLines w:val="0"/>
        <w:pageBreakBefore w:val="0"/>
        <w:widowControl/>
        <w:kinsoku/>
        <w:wordWrap/>
        <w:topLinePunct w:val="0"/>
        <w:bidi w:val="0"/>
        <w:rPr>
          <w:rFonts w:hint="default" w:ascii="Times New Roman" w:hAnsi="Times New Roman" w:cs="Times New Roman"/>
          <w:color w:val="auto"/>
          <w:highlight w:val="none"/>
        </w:rPr>
      </w:pPr>
    </w:p>
    <w:tbl>
      <w:tblPr>
        <w:tblStyle w:val="11"/>
        <w:tblW w:w="946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46"/>
        <w:gridCol w:w="1237"/>
        <w:gridCol w:w="965"/>
        <w:gridCol w:w="1025"/>
        <w:gridCol w:w="1205"/>
        <w:gridCol w:w="1260"/>
        <w:gridCol w:w="1195"/>
        <w:gridCol w:w="12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461" w:type="dxa"/>
            <w:gridSpan w:val="8"/>
            <w:tcBorders>
              <w:top w:val="nil"/>
              <w:left w:val="nil"/>
              <w:bottom w:val="nil"/>
              <w:right w:val="nil"/>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eastAsia" w:ascii="宋体" w:hAnsi="宋体" w:eastAsia="宋体" w:cs="宋体"/>
                <w:i w:val="0"/>
                <w:iCs w:val="0"/>
                <w:snapToGrid w:val="0"/>
                <w:color w:val="auto"/>
                <w:kern w:val="0"/>
                <w:sz w:val="32"/>
                <w:szCs w:val="32"/>
                <w:highlight w:val="none"/>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jc w:val="center"/>
        </w:trPr>
        <w:tc>
          <w:tcPr>
            <w:tcW w:w="1346" w:type="dxa"/>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rPr>
                <w:rFonts w:hint="eastAsia" w:ascii="宋体" w:hAnsi="宋体" w:eastAsia="宋体" w:cs="宋体"/>
                <w:i w:val="0"/>
                <w:iCs w:val="0"/>
                <w:color w:val="auto"/>
                <w:sz w:val="16"/>
                <w:szCs w:val="16"/>
                <w:highlight w:val="none"/>
                <w:u w:val="none"/>
              </w:rPr>
            </w:pPr>
          </w:p>
        </w:tc>
        <w:tc>
          <w:tcPr>
            <w:tcW w:w="1237" w:type="dxa"/>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rPr>
                <w:rFonts w:hint="eastAsia" w:ascii="宋体" w:hAnsi="宋体" w:eastAsia="宋体" w:cs="宋体"/>
                <w:i w:val="0"/>
                <w:iCs w:val="0"/>
                <w:color w:val="auto"/>
                <w:sz w:val="16"/>
                <w:szCs w:val="16"/>
                <w:highlight w:val="none"/>
                <w:u w:val="none"/>
              </w:rPr>
            </w:pPr>
          </w:p>
        </w:tc>
        <w:tc>
          <w:tcPr>
            <w:tcW w:w="965" w:type="dxa"/>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rPr>
                <w:rFonts w:hint="eastAsia" w:ascii="宋体" w:hAnsi="宋体" w:eastAsia="宋体" w:cs="宋体"/>
                <w:i w:val="0"/>
                <w:iCs w:val="0"/>
                <w:color w:val="auto"/>
                <w:sz w:val="16"/>
                <w:szCs w:val="16"/>
                <w:highlight w:val="none"/>
                <w:u w:val="none"/>
              </w:rPr>
            </w:pPr>
          </w:p>
        </w:tc>
        <w:tc>
          <w:tcPr>
            <w:tcW w:w="1025" w:type="dxa"/>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rPr>
                <w:rFonts w:hint="eastAsia" w:ascii="宋体" w:hAnsi="宋体" w:eastAsia="宋体" w:cs="宋体"/>
                <w:i w:val="0"/>
                <w:iCs w:val="0"/>
                <w:color w:val="auto"/>
                <w:sz w:val="16"/>
                <w:szCs w:val="16"/>
                <w:highlight w:val="none"/>
                <w:u w:val="none"/>
              </w:rPr>
            </w:pPr>
          </w:p>
        </w:tc>
        <w:tc>
          <w:tcPr>
            <w:tcW w:w="1205" w:type="dxa"/>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rPr>
                <w:rFonts w:hint="eastAsia" w:ascii="宋体" w:hAnsi="宋体" w:eastAsia="宋体" w:cs="宋体"/>
                <w:i w:val="0"/>
                <w:iCs w:val="0"/>
                <w:color w:val="auto"/>
                <w:sz w:val="16"/>
                <w:szCs w:val="16"/>
                <w:highlight w:val="none"/>
                <w:u w:val="none"/>
              </w:rPr>
            </w:pPr>
          </w:p>
        </w:tc>
        <w:tc>
          <w:tcPr>
            <w:tcW w:w="1260" w:type="dxa"/>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rPr>
                <w:rFonts w:hint="eastAsia" w:ascii="宋体" w:hAnsi="宋体" w:eastAsia="宋体" w:cs="宋体"/>
                <w:i w:val="0"/>
                <w:iCs w:val="0"/>
                <w:color w:val="auto"/>
                <w:sz w:val="16"/>
                <w:szCs w:val="16"/>
                <w:highlight w:val="none"/>
                <w:u w:val="none"/>
              </w:rPr>
            </w:pPr>
          </w:p>
        </w:tc>
        <w:tc>
          <w:tcPr>
            <w:tcW w:w="1195" w:type="dxa"/>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rPr>
                <w:rFonts w:hint="eastAsia" w:ascii="宋体" w:hAnsi="宋体" w:eastAsia="宋体" w:cs="宋体"/>
                <w:i w:val="0"/>
                <w:iCs w:val="0"/>
                <w:color w:val="auto"/>
                <w:sz w:val="16"/>
                <w:szCs w:val="16"/>
                <w:highlight w:val="none"/>
                <w:u w:val="none"/>
              </w:rPr>
            </w:pPr>
          </w:p>
        </w:tc>
        <w:tc>
          <w:tcPr>
            <w:tcW w:w="122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573" w:type="dxa"/>
            <w:gridSpan w:val="4"/>
            <w:tcBorders>
              <w:top w:val="nil"/>
              <w:left w:val="nil"/>
              <w:bottom w:val="nil"/>
              <w:right w:val="nil"/>
            </w:tcBorders>
            <w:shd w:val="clear" w:color="auto" w:fill="auto"/>
            <w:noWrap/>
            <w:vAlign w:val="center"/>
          </w:tcPr>
          <w:p>
            <w:pPr>
              <w:keepNext w:val="0"/>
              <w:keepLines w:val="0"/>
              <w:pageBreakBefore w:val="0"/>
              <w:widowControl/>
              <w:suppressLineNumbers w:val="0"/>
              <w:tabs>
                <w:tab w:val="right" w:pos="4424"/>
              </w:tabs>
              <w:kinsoku/>
              <w:wordWrap/>
              <w:topLinePunct w:val="0"/>
              <w:bidi w:val="0"/>
              <w:ind w:firstLine="160" w:firstLineChars="100"/>
              <w:jc w:val="both"/>
              <w:textAlignment w:val="center"/>
              <w:rPr>
                <w:rFonts w:hint="eastAsia" w:ascii="宋体" w:hAnsi="宋体" w:eastAsia="宋体" w:cs="宋体"/>
                <w:i w:val="0"/>
                <w:iCs w:val="0"/>
                <w:color w:val="auto"/>
                <w:sz w:val="16"/>
                <w:szCs w:val="16"/>
                <w:highlight w:val="none"/>
                <w:u w:val="none"/>
                <w:lang w:val="en-US"/>
              </w:rPr>
            </w:pPr>
            <w:r>
              <w:rPr>
                <w:rFonts w:hint="eastAsia" w:ascii="宋体" w:hAnsi="宋体" w:eastAsia="宋体" w:cs="宋体"/>
                <w:i w:val="0"/>
                <w:iCs w:val="0"/>
                <w:snapToGrid w:val="0"/>
                <w:color w:val="auto"/>
                <w:kern w:val="0"/>
                <w:sz w:val="16"/>
                <w:szCs w:val="16"/>
                <w:highlight w:val="none"/>
                <w:u w:val="none"/>
                <w:lang w:val="en-US" w:eastAsia="zh-CN" w:bidi="ar"/>
              </w:rPr>
              <w:t xml:space="preserve">部门：资兴市消防救援大队                         </w:t>
            </w:r>
          </w:p>
        </w:tc>
        <w:tc>
          <w:tcPr>
            <w:tcW w:w="1205" w:type="dxa"/>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jc w:val="left"/>
              <w:rPr>
                <w:rFonts w:hint="eastAsia" w:ascii="宋体" w:hAnsi="宋体" w:eastAsia="宋体" w:cs="宋体"/>
                <w:i w:val="0"/>
                <w:iCs w:val="0"/>
                <w:color w:val="auto"/>
                <w:sz w:val="16"/>
                <w:szCs w:val="16"/>
                <w:highlight w:val="none"/>
                <w:u w:val="none"/>
                <w:lang w:val="en-US" w:eastAsia="zh-CN"/>
              </w:rPr>
            </w:pPr>
          </w:p>
        </w:tc>
        <w:tc>
          <w:tcPr>
            <w:tcW w:w="1260" w:type="dxa"/>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rPr>
                <w:rFonts w:hint="eastAsia" w:ascii="宋体" w:hAnsi="宋体" w:eastAsia="宋体" w:cs="宋体"/>
                <w:i w:val="0"/>
                <w:iCs w:val="0"/>
                <w:color w:val="auto"/>
                <w:sz w:val="16"/>
                <w:szCs w:val="16"/>
                <w:highlight w:val="none"/>
                <w:u w:val="none"/>
              </w:rPr>
            </w:pPr>
          </w:p>
        </w:tc>
        <w:tc>
          <w:tcPr>
            <w:tcW w:w="1195" w:type="dxa"/>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rPr>
                <w:rFonts w:hint="eastAsia" w:ascii="宋体" w:hAnsi="宋体" w:eastAsia="宋体" w:cs="宋体"/>
                <w:i w:val="0"/>
                <w:iCs w:val="0"/>
                <w:color w:val="auto"/>
                <w:sz w:val="16"/>
                <w:szCs w:val="16"/>
                <w:highlight w:val="none"/>
                <w:u w:val="none"/>
              </w:rPr>
            </w:pPr>
          </w:p>
        </w:tc>
        <w:tc>
          <w:tcPr>
            <w:tcW w:w="122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5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项目</w:t>
            </w:r>
          </w:p>
        </w:tc>
        <w:tc>
          <w:tcPr>
            <w:tcW w:w="965"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 xml:space="preserve">年初结转和结余 </w:t>
            </w:r>
          </w:p>
        </w:tc>
        <w:tc>
          <w:tcPr>
            <w:tcW w:w="1025"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本年收入</w:t>
            </w:r>
          </w:p>
        </w:tc>
        <w:tc>
          <w:tcPr>
            <w:tcW w:w="3660" w:type="dxa"/>
            <w:gridSpan w:val="3"/>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本年支出</w:t>
            </w:r>
          </w:p>
        </w:tc>
        <w:tc>
          <w:tcPr>
            <w:tcW w:w="1228"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46"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科目代码</w:t>
            </w:r>
          </w:p>
        </w:tc>
        <w:tc>
          <w:tcPr>
            <w:tcW w:w="1237" w:type="dxa"/>
            <w:vMerge w:val="restart"/>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科目名称</w:t>
            </w:r>
          </w:p>
        </w:tc>
        <w:tc>
          <w:tcPr>
            <w:tcW w:w="965" w:type="dxa"/>
            <w:vMerge w:val="continue"/>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auto"/>
                <w:sz w:val="16"/>
                <w:szCs w:val="16"/>
                <w:highlight w:val="none"/>
                <w:u w:val="none"/>
              </w:rPr>
            </w:pPr>
          </w:p>
        </w:tc>
        <w:tc>
          <w:tcPr>
            <w:tcW w:w="1025" w:type="dxa"/>
            <w:vMerge w:val="continue"/>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auto"/>
                <w:sz w:val="16"/>
                <w:szCs w:val="16"/>
                <w:highlight w:val="none"/>
                <w:u w:val="none"/>
              </w:rPr>
            </w:pPr>
          </w:p>
        </w:tc>
        <w:tc>
          <w:tcPr>
            <w:tcW w:w="1205" w:type="dxa"/>
            <w:vMerge w:val="restart"/>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小计</w:t>
            </w:r>
          </w:p>
        </w:tc>
        <w:tc>
          <w:tcPr>
            <w:tcW w:w="1260" w:type="dxa"/>
            <w:vMerge w:val="restart"/>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 xml:space="preserve">基本支出 </w:t>
            </w:r>
          </w:p>
        </w:tc>
        <w:tc>
          <w:tcPr>
            <w:tcW w:w="1195" w:type="dxa"/>
            <w:vMerge w:val="restart"/>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项目支出</w:t>
            </w:r>
          </w:p>
        </w:tc>
        <w:tc>
          <w:tcPr>
            <w:tcW w:w="1228" w:type="dxa"/>
            <w:vMerge w:val="continue"/>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46"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auto"/>
                <w:sz w:val="16"/>
                <w:szCs w:val="16"/>
                <w:highlight w:val="none"/>
                <w:u w:val="none"/>
              </w:rPr>
            </w:pPr>
          </w:p>
        </w:tc>
        <w:tc>
          <w:tcPr>
            <w:tcW w:w="1237" w:type="dxa"/>
            <w:vMerge w:val="continue"/>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auto"/>
                <w:sz w:val="16"/>
                <w:szCs w:val="16"/>
                <w:highlight w:val="none"/>
                <w:u w:val="none"/>
              </w:rPr>
            </w:pPr>
          </w:p>
        </w:tc>
        <w:tc>
          <w:tcPr>
            <w:tcW w:w="965" w:type="dxa"/>
            <w:vMerge w:val="continue"/>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auto"/>
                <w:sz w:val="16"/>
                <w:szCs w:val="16"/>
                <w:highlight w:val="none"/>
                <w:u w:val="none"/>
              </w:rPr>
            </w:pPr>
          </w:p>
        </w:tc>
        <w:tc>
          <w:tcPr>
            <w:tcW w:w="1025" w:type="dxa"/>
            <w:vMerge w:val="continue"/>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auto"/>
                <w:sz w:val="16"/>
                <w:szCs w:val="16"/>
                <w:highlight w:val="none"/>
                <w:u w:val="none"/>
              </w:rPr>
            </w:pPr>
          </w:p>
        </w:tc>
        <w:tc>
          <w:tcPr>
            <w:tcW w:w="1205" w:type="dxa"/>
            <w:vMerge w:val="continue"/>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auto"/>
                <w:sz w:val="16"/>
                <w:szCs w:val="16"/>
                <w:highlight w:val="none"/>
                <w:u w:val="none"/>
              </w:rPr>
            </w:pPr>
          </w:p>
        </w:tc>
        <w:tc>
          <w:tcPr>
            <w:tcW w:w="1260" w:type="dxa"/>
            <w:vMerge w:val="continue"/>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auto"/>
                <w:sz w:val="16"/>
                <w:szCs w:val="16"/>
                <w:highlight w:val="none"/>
                <w:u w:val="none"/>
              </w:rPr>
            </w:pPr>
          </w:p>
        </w:tc>
        <w:tc>
          <w:tcPr>
            <w:tcW w:w="1195" w:type="dxa"/>
            <w:vMerge w:val="continue"/>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auto"/>
                <w:sz w:val="16"/>
                <w:szCs w:val="16"/>
                <w:highlight w:val="none"/>
                <w:u w:val="none"/>
              </w:rPr>
            </w:pPr>
          </w:p>
        </w:tc>
        <w:tc>
          <w:tcPr>
            <w:tcW w:w="1228" w:type="dxa"/>
            <w:vMerge w:val="continue"/>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583"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栏次</w:t>
            </w:r>
          </w:p>
        </w:tc>
        <w:tc>
          <w:tcPr>
            <w:tcW w:w="96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1</w:t>
            </w:r>
          </w:p>
        </w:tc>
        <w:tc>
          <w:tcPr>
            <w:tcW w:w="10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2</w:t>
            </w:r>
          </w:p>
        </w:tc>
        <w:tc>
          <w:tcPr>
            <w:tcW w:w="120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3</w:t>
            </w:r>
          </w:p>
        </w:tc>
        <w:tc>
          <w:tcPr>
            <w:tcW w:w="12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4</w:t>
            </w:r>
          </w:p>
        </w:tc>
        <w:tc>
          <w:tcPr>
            <w:tcW w:w="119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5</w:t>
            </w:r>
          </w:p>
        </w:tc>
        <w:tc>
          <w:tcPr>
            <w:tcW w:w="12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583"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snapToGrid w:val="0"/>
                <w:color w:val="auto"/>
                <w:kern w:val="0"/>
                <w:sz w:val="16"/>
                <w:szCs w:val="16"/>
                <w:highlight w:val="none"/>
                <w:u w:val="none"/>
                <w:lang w:val="en-US" w:eastAsia="zh-CN" w:bidi="ar"/>
              </w:rPr>
              <w:t>合计</w:t>
            </w:r>
          </w:p>
        </w:tc>
        <w:tc>
          <w:tcPr>
            <w:tcW w:w="96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c>
          <w:tcPr>
            <w:tcW w:w="10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c>
          <w:tcPr>
            <w:tcW w:w="120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c>
          <w:tcPr>
            <w:tcW w:w="12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c>
          <w:tcPr>
            <w:tcW w:w="119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c>
          <w:tcPr>
            <w:tcW w:w="12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4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left"/>
              <w:rPr>
                <w:rFonts w:hint="eastAsia" w:ascii="宋体" w:hAnsi="宋体" w:eastAsia="宋体" w:cs="宋体"/>
                <w:i w:val="0"/>
                <w:iCs w:val="0"/>
                <w:color w:val="auto"/>
                <w:sz w:val="16"/>
                <w:szCs w:val="16"/>
                <w:highlight w:val="none"/>
                <w:u w:val="none"/>
              </w:rPr>
            </w:pPr>
          </w:p>
        </w:tc>
        <w:tc>
          <w:tcPr>
            <w:tcW w:w="1237"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left"/>
              <w:rPr>
                <w:rFonts w:hint="eastAsia" w:ascii="宋体" w:hAnsi="宋体" w:eastAsia="宋体" w:cs="宋体"/>
                <w:i w:val="0"/>
                <w:iCs w:val="0"/>
                <w:color w:val="auto"/>
                <w:sz w:val="16"/>
                <w:szCs w:val="16"/>
                <w:highlight w:val="none"/>
                <w:u w:val="none"/>
              </w:rPr>
            </w:pPr>
          </w:p>
        </w:tc>
        <w:tc>
          <w:tcPr>
            <w:tcW w:w="96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c>
          <w:tcPr>
            <w:tcW w:w="10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c>
          <w:tcPr>
            <w:tcW w:w="120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c>
          <w:tcPr>
            <w:tcW w:w="12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c>
          <w:tcPr>
            <w:tcW w:w="119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c>
          <w:tcPr>
            <w:tcW w:w="12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right"/>
              <w:rPr>
                <w:rFonts w:hint="eastAsia" w:ascii="宋体" w:hAnsi="宋体" w:eastAsia="宋体" w:cs="宋体"/>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461" w:type="dxa"/>
            <w:gridSpan w:val="8"/>
            <w:tcBorders>
              <w:top w:val="nil"/>
              <w:left w:val="nil"/>
              <w:bottom w:val="nil"/>
              <w:right w:val="nil"/>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auto"/>
                <w:kern w:val="0"/>
                <w:sz w:val="16"/>
                <w:szCs w:val="16"/>
                <w:highlight w:val="none"/>
                <w:u w:val="none"/>
                <w:lang w:val="en-US" w:eastAsia="zh-CN" w:bidi="ar"/>
              </w:rPr>
            </w:pPr>
            <w:r>
              <w:rPr>
                <w:rFonts w:hint="eastAsia" w:ascii="宋体" w:hAnsi="宋体" w:eastAsia="宋体" w:cs="宋体"/>
                <w:i w:val="0"/>
                <w:iCs w:val="0"/>
                <w:snapToGrid w:val="0"/>
                <w:color w:val="auto"/>
                <w:kern w:val="0"/>
                <w:sz w:val="16"/>
                <w:szCs w:val="16"/>
                <w:highlight w:val="none"/>
                <w:u w:val="none"/>
                <w:lang w:val="en-US" w:eastAsia="zh-CN" w:bidi="ar"/>
              </w:rPr>
              <w:t>注：本表反映部门本年度政府性基金预算财政拨款收入、支出及结转和结余情况。</w:t>
            </w:r>
          </w:p>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snapToGrid w:val="0"/>
                <w:color w:val="auto"/>
                <w:kern w:val="0"/>
                <w:sz w:val="16"/>
                <w:szCs w:val="16"/>
                <w:highlight w:val="none"/>
                <w:u w:val="none"/>
                <w:lang w:val="en-US" w:eastAsia="zh-CN" w:bidi="ar"/>
              </w:rPr>
            </w:pPr>
            <w:r>
              <w:rPr>
                <w:rFonts w:hint="eastAsia" w:ascii="宋体" w:hAnsi="宋体" w:eastAsia="宋体" w:cs="宋体"/>
                <w:i w:val="0"/>
                <w:iCs w:val="0"/>
                <w:snapToGrid w:val="0"/>
                <w:color w:val="auto"/>
                <w:kern w:val="0"/>
                <w:sz w:val="16"/>
                <w:szCs w:val="16"/>
                <w:highlight w:val="none"/>
                <w:u w:val="none"/>
                <w:lang w:val="en-US" w:eastAsia="zh-CN" w:bidi="ar"/>
              </w:rPr>
              <w:t>说明：资兴市消防救援大队没有使用政府性基金预算安排的支出，故本表无数据。</w:t>
            </w:r>
          </w:p>
        </w:tc>
      </w:tr>
    </w:tbl>
    <w:p>
      <w:pPr>
        <w:keepNext w:val="0"/>
        <w:keepLines w:val="0"/>
        <w:pageBreakBefore w:val="0"/>
        <w:widowControl/>
        <w:kinsoku/>
        <w:wordWrap/>
        <w:topLinePunct w:val="0"/>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pPr>
        <w:keepNext w:val="0"/>
        <w:keepLines w:val="0"/>
        <w:pageBreakBefore w:val="0"/>
        <w:widowControl/>
        <w:kinsoku/>
        <w:wordWrap/>
        <w:topLinePunct w:val="0"/>
        <w:bidi w:val="0"/>
        <w:rPr>
          <w:rFonts w:hint="default" w:ascii="Times New Roman" w:hAnsi="Times New Roman" w:cs="Times New Roman"/>
          <w:color w:val="auto"/>
          <w:sz w:val="32"/>
          <w:szCs w:val="32"/>
          <w:highlight w:val="none"/>
        </w:rPr>
      </w:pPr>
    </w:p>
    <w:tbl>
      <w:tblPr>
        <w:tblStyle w:val="11"/>
        <w:tblW w:w="95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55"/>
        <w:gridCol w:w="1460"/>
        <w:gridCol w:w="1530"/>
        <w:gridCol w:w="569"/>
        <w:gridCol w:w="1851"/>
        <w:gridCol w:w="25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545" w:type="dxa"/>
            <w:gridSpan w:val="6"/>
            <w:tcBorders>
              <w:top w:val="nil"/>
              <w:left w:val="nil"/>
              <w:bottom w:val="nil"/>
              <w:right w:val="nil"/>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方正小标宋_GBK" w:cs="Times New Roman"/>
                <w:i w:val="0"/>
                <w:iCs w:val="0"/>
                <w:color w:val="auto"/>
                <w:sz w:val="32"/>
                <w:szCs w:val="32"/>
                <w:highlight w:val="none"/>
                <w:u w:val="none"/>
              </w:rPr>
            </w:pPr>
            <w:r>
              <w:rPr>
                <w:rFonts w:hint="eastAsia" w:ascii="宋体" w:hAnsi="宋体" w:eastAsia="宋体" w:cs="宋体"/>
                <w:i w:val="0"/>
                <w:iCs w:val="0"/>
                <w:snapToGrid w:val="0"/>
                <w:color w:val="auto"/>
                <w:kern w:val="0"/>
                <w:sz w:val="32"/>
                <w:szCs w:val="32"/>
                <w:highlight w:val="none"/>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55" w:type="dxa"/>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rPr>
                <w:rFonts w:hint="default" w:ascii="Times New Roman" w:hAnsi="Times New Roman" w:eastAsia="宋体" w:cs="Times New Roman"/>
                <w:i w:val="0"/>
                <w:iCs w:val="0"/>
                <w:color w:val="auto"/>
                <w:sz w:val="16"/>
                <w:szCs w:val="16"/>
                <w:highlight w:val="none"/>
                <w:u w:val="none"/>
              </w:rPr>
            </w:pPr>
          </w:p>
        </w:tc>
        <w:tc>
          <w:tcPr>
            <w:tcW w:w="1460" w:type="dxa"/>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rPr>
                <w:rFonts w:hint="default" w:ascii="Times New Roman" w:hAnsi="Times New Roman" w:eastAsia="宋体" w:cs="Times New Roman"/>
                <w:i w:val="0"/>
                <w:iCs w:val="0"/>
                <w:color w:val="auto"/>
                <w:sz w:val="16"/>
                <w:szCs w:val="16"/>
                <w:highlight w:val="none"/>
                <w:u w:val="none"/>
              </w:rPr>
            </w:pPr>
          </w:p>
        </w:tc>
        <w:tc>
          <w:tcPr>
            <w:tcW w:w="1530" w:type="dxa"/>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rPr>
                <w:rFonts w:hint="default" w:ascii="Times New Roman" w:hAnsi="Times New Roman" w:eastAsia="宋体" w:cs="Times New Roman"/>
                <w:i w:val="0"/>
                <w:iCs w:val="0"/>
                <w:color w:val="auto"/>
                <w:sz w:val="16"/>
                <w:szCs w:val="16"/>
                <w:highlight w:val="none"/>
                <w:u w:val="none"/>
              </w:rPr>
            </w:pPr>
          </w:p>
        </w:tc>
        <w:tc>
          <w:tcPr>
            <w:tcW w:w="569" w:type="dxa"/>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rPr>
                <w:rFonts w:hint="default" w:ascii="Times New Roman" w:hAnsi="Times New Roman" w:eastAsia="宋体" w:cs="Times New Roman"/>
                <w:i w:val="0"/>
                <w:iCs w:val="0"/>
                <w:color w:val="auto"/>
                <w:sz w:val="16"/>
                <w:szCs w:val="16"/>
                <w:highlight w:val="none"/>
                <w:u w:val="none"/>
              </w:rPr>
            </w:pPr>
          </w:p>
        </w:tc>
        <w:tc>
          <w:tcPr>
            <w:tcW w:w="4431" w:type="dxa"/>
            <w:gridSpan w:val="2"/>
            <w:tcBorders>
              <w:top w:val="nil"/>
              <w:left w:val="nil"/>
              <w:bottom w:val="nil"/>
              <w:right w:val="nil"/>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3015" w:type="dxa"/>
            <w:gridSpan w:val="2"/>
            <w:tcBorders>
              <w:top w:val="nil"/>
              <w:left w:val="nil"/>
              <w:bottom w:val="nil"/>
              <w:right w:val="nil"/>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部门：</w:t>
            </w:r>
            <w:r>
              <w:rPr>
                <w:rFonts w:hint="eastAsia" w:ascii="Times New Roman" w:hAnsi="Times New Roman" w:eastAsia="宋体" w:cs="Times New Roman"/>
                <w:i w:val="0"/>
                <w:iCs w:val="0"/>
                <w:snapToGrid w:val="0"/>
                <w:color w:val="auto"/>
                <w:kern w:val="0"/>
                <w:sz w:val="16"/>
                <w:szCs w:val="16"/>
                <w:highlight w:val="none"/>
                <w:u w:val="none"/>
                <w:lang w:val="en-US" w:eastAsia="zh-CN" w:bidi="ar"/>
              </w:rPr>
              <w:t>资兴市消防救援大队</w:t>
            </w:r>
          </w:p>
        </w:tc>
        <w:tc>
          <w:tcPr>
            <w:tcW w:w="1530" w:type="dxa"/>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jc w:val="center"/>
              <w:rPr>
                <w:rFonts w:hint="default" w:ascii="Times New Roman" w:hAnsi="Times New Roman" w:eastAsia="宋体" w:cs="Times New Roman"/>
                <w:i w:val="0"/>
                <w:iCs w:val="0"/>
                <w:color w:val="auto"/>
                <w:sz w:val="16"/>
                <w:szCs w:val="16"/>
                <w:highlight w:val="none"/>
                <w:u w:val="none"/>
                <w:lang w:val="en-US" w:eastAsia="zh-CN"/>
              </w:rPr>
            </w:pPr>
            <w:r>
              <w:rPr>
                <w:rFonts w:hint="default" w:ascii="Times New Roman" w:hAnsi="Times New Roman" w:eastAsia="宋体" w:cs="Times New Roman"/>
                <w:i w:val="0"/>
                <w:iCs w:val="0"/>
                <w:color w:val="auto"/>
                <w:sz w:val="16"/>
                <w:szCs w:val="16"/>
                <w:highlight w:val="none"/>
                <w:u w:val="none"/>
                <w:lang w:val="en-US" w:eastAsia="zh-CN"/>
              </w:rPr>
              <w:t xml:space="preserve">                </w:t>
            </w:r>
          </w:p>
        </w:tc>
        <w:tc>
          <w:tcPr>
            <w:tcW w:w="569" w:type="dxa"/>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rPr>
                <w:rFonts w:hint="default" w:ascii="Times New Roman" w:hAnsi="Times New Roman" w:eastAsia="宋体" w:cs="Times New Roman"/>
                <w:i w:val="0"/>
                <w:iCs w:val="0"/>
                <w:color w:val="auto"/>
                <w:sz w:val="16"/>
                <w:szCs w:val="16"/>
                <w:highlight w:val="none"/>
                <w:u w:val="none"/>
              </w:rPr>
            </w:pPr>
          </w:p>
        </w:tc>
        <w:tc>
          <w:tcPr>
            <w:tcW w:w="4431" w:type="dxa"/>
            <w:gridSpan w:val="2"/>
            <w:tcBorders>
              <w:top w:val="nil"/>
              <w:left w:val="nil"/>
              <w:bottom w:val="nil"/>
              <w:right w:val="nil"/>
            </w:tcBorders>
            <w:shd w:val="clear" w:color="auto" w:fill="auto"/>
            <w:noWrap/>
            <w:vAlign w:val="center"/>
          </w:tcPr>
          <w:p>
            <w:pPr>
              <w:keepNext w:val="0"/>
              <w:keepLines w:val="0"/>
              <w:pageBreakBefore w:val="0"/>
              <w:widowControl/>
              <w:suppressLineNumbers w:val="0"/>
              <w:kinsoku/>
              <w:wordWrap/>
              <w:topLinePunct w:val="0"/>
              <w:bidi w:val="0"/>
              <w:jc w:val="right"/>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项    目</w:t>
            </w:r>
          </w:p>
        </w:tc>
        <w:tc>
          <w:tcPr>
            <w:tcW w:w="6530" w:type="dxa"/>
            <w:gridSpan w:val="4"/>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555" w:type="dxa"/>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科目代码</w:t>
            </w:r>
          </w:p>
        </w:tc>
        <w:tc>
          <w:tcPr>
            <w:tcW w:w="1460" w:type="dxa"/>
            <w:vMerge w:val="restart"/>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科目名称</w:t>
            </w:r>
          </w:p>
        </w:tc>
        <w:tc>
          <w:tcPr>
            <w:tcW w:w="1530" w:type="dxa"/>
            <w:vMerge w:val="restart"/>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合计</w:t>
            </w:r>
          </w:p>
        </w:tc>
        <w:tc>
          <w:tcPr>
            <w:tcW w:w="2420" w:type="dxa"/>
            <w:gridSpan w:val="2"/>
            <w:vMerge w:val="restart"/>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基本支出</w:t>
            </w:r>
          </w:p>
        </w:tc>
        <w:tc>
          <w:tcPr>
            <w:tcW w:w="2580" w:type="dxa"/>
            <w:vMerge w:val="restart"/>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555" w:type="dxa"/>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center"/>
              <w:rPr>
                <w:rFonts w:hint="default" w:ascii="Times New Roman" w:hAnsi="Times New Roman" w:eastAsia="宋体" w:cs="Times New Roman"/>
                <w:i w:val="0"/>
                <w:iCs w:val="0"/>
                <w:color w:val="auto"/>
                <w:sz w:val="16"/>
                <w:szCs w:val="16"/>
                <w:highlight w:val="none"/>
                <w:u w:val="none"/>
              </w:rPr>
            </w:pPr>
          </w:p>
        </w:tc>
        <w:tc>
          <w:tcPr>
            <w:tcW w:w="1460" w:type="dxa"/>
            <w:vMerge w:val="continue"/>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center"/>
              <w:rPr>
                <w:rFonts w:hint="default" w:ascii="Times New Roman" w:hAnsi="Times New Roman" w:eastAsia="宋体" w:cs="Times New Roman"/>
                <w:i w:val="0"/>
                <w:iCs w:val="0"/>
                <w:color w:val="auto"/>
                <w:sz w:val="16"/>
                <w:szCs w:val="16"/>
                <w:highlight w:val="none"/>
                <w:u w:val="none"/>
              </w:rPr>
            </w:pPr>
          </w:p>
        </w:tc>
        <w:tc>
          <w:tcPr>
            <w:tcW w:w="1530" w:type="dxa"/>
            <w:vMerge w:val="continue"/>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center"/>
              <w:rPr>
                <w:rFonts w:hint="default" w:ascii="Times New Roman" w:hAnsi="Times New Roman" w:eastAsia="宋体" w:cs="Times New Roman"/>
                <w:i w:val="0"/>
                <w:iCs w:val="0"/>
                <w:color w:val="auto"/>
                <w:sz w:val="16"/>
                <w:szCs w:val="16"/>
                <w:highlight w:val="none"/>
                <w:u w:val="none"/>
              </w:rPr>
            </w:pPr>
          </w:p>
        </w:tc>
        <w:tc>
          <w:tcPr>
            <w:tcW w:w="2420" w:type="dxa"/>
            <w:gridSpan w:val="2"/>
            <w:vMerge w:val="continue"/>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center"/>
              <w:rPr>
                <w:rFonts w:hint="default" w:ascii="Times New Roman" w:hAnsi="Times New Roman" w:eastAsia="宋体" w:cs="Times New Roman"/>
                <w:i w:val="0"/>
                <w:iCs w:val="0"/>
                <w:color w:val="auto"/>
                <w:sz w:val="16"/>
                <w:szCs w:val="16"/>
                <w:highlight w:val="none"/>
                <w:u w:val="none"/>
              </w:rPr>
            </w:pPr>
          </w:p>
        </w:tc>
        <w:tc>
          <w:tcPr>
            <w:tcW w:w="2580" w:type="dxa"/>
            <w:vMerge w:val="continue"/>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topLinePunct w:val="0"/>
              <w:bidi w:val="0"/>
              <w:jc w:val="center"/>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555" w:type="dxa"/>
            <w:vMerge w:val="continue"/>
            <w:tcBorders>
              <w:top w:val="nil"/>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kinsoku/>
              <w:wordWrap/>
              <w:topLinePunct w:val="0"/>
              <w:bidi w:val="0"/>
              <w:jc w:val="center"/>
              <w:rPr>
                <w:rFonts w:hint="default" w:ascii="Times New Roman" w:hAnsi="Times New Roman" w:eastAsia="宋体" w:cs="Times New Roman"/>
                <w:i w:val="0"/>
                <w:iCs w:val="0"/>
                <w:color w:val="auto"/>
                <w:sz w:val="16"/>
                <w:szCs w:val="16"/>
                <w:highlight w:val="none"/>
                <w:u w:val="none"/>
              </w:rPr>
            </w:pPr>
          </w:p>
        </w:tc>
        <w:tc>
          <w:tcPr>
            <w:tcW w:w="1460" w:type="dxa"/>
            <w:vMerge w:val="continue"/>
            <w:tcBorders>
              <w:top w:val="nil"/>
              <w:left w:val="nil"/>
              <w:bottom w:val="single" w:color="auto" w:sz="4" w:space="0"/>
              <w:right w:val="single" w:color="000000" w:sz="4" w:space="0"/>
            </w:tcBorders>
            <w:shd w:val="clear" w:color="auto" w:fill="auto"/>
            <w:noWrap/>
            <w:vAlign w:val="center"/>
          </w:tcPr>
          <w:p>
            <w:pPr>
              <w:keepNext w:val="0"/>
              <w:keepLines w:val="0"/>
              <w:pageBreakBefore w:val="0"/>
              <w:widowControl/>
              <w:kinsoku/>
              <w:wordWrap/>
              <w:topLinePunct w:val="0"/>
              <w:bidi w:val="0"/>
              <w:jc w:val="center"/>
              <w:rPr>
                <w:rFonts w:hint="default" w:ascii="Times New Roman" w:hAnsi="Times New Roman" w:eastAsia="宋体" w:cs="Times New Roman"/>
                <w:i w:val="0"/>
                <w:iCs w:val="0"/>
                <w:color w:val="auto"/>
                <w:sz w:val="16"/>
                <w:szCs w:val="16"/>
                <w:highlight w:val="none"/>
                <w:u w:val="none"/>
              </w:rPr>
            </w:pPr>
          </w:p>
        </w:tc>
        <w:tc>
          <w:tcPr>
            <w:tcW w:w="1530" w:type="dxa"/>
            <w:vMerge w:val="continue"/>
            <w:tcBorders>
              <w:top w:val="nil"/>
              <w:left w:val="nil"/>
              <w:bottom w:val="single" w:color="auto" w:sz="4" w:space="0"/>
              <w:right w:val="single" w:color="000000" w:sz="4" w:space="0"/>
            </w:tcBorders>
            <w:shd w:val="clear" w:color="auto" w:fill="auto"/>
            <w:noWrap/>
            <w:vAlign w:val="center"/>
          </w:tcPr>
          <w:p>
            <w:pPr>
              <w:keepNext w:val="0"/>
              <w:keepLines w:val="0"/>
              <w:pageBreakBefore w:val="0"/>
              <w:widowControl/>
              <w:kinsoku/>
              <w:wordWrap/>
              <w:topLinePunct w:val="0"/>
              <w:bidi w:val="0"/>
              <w:jc w:val="center"/>
              <w:rPr>
                <w:rFonts w:hint="default" w:ascii="Times New Roman" w:hAnsi="Times New Roman" w:eastAsia="宋体" w:cs="Times New Roman"/>
                <w:i w:val="0"/>
                <w:iCs w:val="0"/>
                <w:color w:val="auto"/>
                <w:sz w:val="16"/>
                <w:szCs w:val="16"/>
                <w:highlight w:val="none"/>
                <w:u w:val="none"/>
              </w:rPr>
            </w:pPr>
          </w:p>
        </w:tc>
        <w:tc>
          <w:tcPr>
            <w:tcW w:w="2420" w:type="dxa"/>
            <w:gridSpan w:val="2"/>
            <w:vMerge w:val="continue"/>
            <w:tcBorders>
              <w:top w:val="nil"/>
              <w:left w:val="nil"/>
              <w:bottom w:val="single" w:color="auto" w:sz="4" w:space="0"/>
              <w:right w:val="single" w:color="000000" w:sz="4" w:space="0"/>
            </w:tcBorders>
            <w:shd w:val="clear" w:color="auto" w:fill="auto"/>
            <w:noWrap/>
            <w:vAlign w:val="center"/>
          </w:tcPr>
          <w:p>
            <w:pPr>
              <w:keepNext w:val="0"/>
              <w:keepLines w:val="0"/>
              <w:pageBreakBefore w:val="0"/>
              <w:widowControl/>
              <w:kinsoku/>
              <w:wordWrap/>
              <w:topLinePunct w:val="0"/>
              <w:bidi w:val="0"/>
              <w:jc w:val="center"/>
              <w:rPr>
                <w:rFonts w:hint="default" w:ascii="Times New Roman" w:hAnsi="Times New Roman" w:eastAsia="宋体" w:cs="Times New Roman"/>
                <w:i w:val="0"/>
                <w:iCs w:val="0"/>
                <w:color w:val="auto"/>
                <w:sz w:val="16"/>
                <w:szCs w:val="16"/>
                <w:highlight w:val="none"/>
                <w:u w:val="none"/>
              </w:rPr>
            </w:pPr>
          </w:p>
        </w:tc>
        <w:tc>
          <w:tcPr>
            <w:tcW w:w="2580" w:type="dxa"/>
            <w:vMerge w:val="continue"/>
            <w:tcBorders>
              <w:top w:val="nil"/>
              <w:left w:val="nil"/>
              <w:bottom w:val="single" w:color="auto" w:sz="4" w:space="0"/>
              <w:right w:val="single" w:color="000000" w:sz="4" w:space="0"/>
            </w:tcBorders>
            <w:shd w:val="clear" w:color="auto" w:fill="auto"/>
            <w:noWrap/>
            <w:vAlign w:val="center"/>
          </w:tcPr>
          <w:p>
            <w:pPr>
              <w:keepNext w:val="0"/>
              <w:keepLines w:val="0"/>
              <w:pageBreakBefore w:val="0"/>
              <w:widowControl/>
              <w:kinsoku/>
              <w:wordWrap/>
              <w:topLinePunct w:val="0"/>
              <w:bidi w:val="0"/>
              <w:jc w:val="center"/>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301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栏次</w:t>
            </w:r>
          </w:p>
        </w:tc>
        <w:tc>
          <w:tcPr>
            <w:tcW w:w="153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w:t>
            </w:r>
          </w:p>
        </w:tc>
        <w:tc>
          <w:tcPr>
            <w:tcW w:w="24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2</w:t>
            </w:r>
          </w:p>
        </w:tc>
        <w:tc>
          <w:tcPr>
            <w:tcW w:w="2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3" w:hRule="atLeast"/>
          <w:jc w:val="center"/>
        </w:trPr>
        <w:tc>
          <w:tcPr>
            <w:tcW w:w="301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合计</w:t>
            </w:r>
          </w:p>
        </w:tc>
        <w:tc>
          <w:tcPr>
            <w:tcW w:w="153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topLinePunct w:val="0"/>
              <w:bidi w:val="0"/>
              <w:jc w:val="right"/>
              <w:rPr>
                <w:rFonts w:hint="default" w:ascii="Times New Roman" w:hAnsi="Times New Roman" w:eastAsia="宋体" w:cs="Times New Roman"/>
                <w:i w:val="0"/>
                <w:iCs w:val="0"/>
                <w:color w:val="auto"/>
                <w:sz w:val="16"/>
                <w:szCs w:val="16"/>
                <w:highlight w:val="none"/>
                <w:u w:val="none"/>
              </w:rPr>
            </w:pPr>
          </w:p>
        </w:tc>
        <w:tc>
          <w:tcPr>
            <w:tcW w:w="24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topLinePunct w:val="0"/>
              <w:bidi w:val="0"/>
              <w:jc w:val="right"/>
              <w:rPr>
                <w:rFonts w:hint="default" w:ascii="Times New Roman" w:hAnsi="Times New Roman" w:eastAsia="宋体" w:cs="Times New Roman"/>
                <w:i w:val="0"/>
                <w:iCs w:val="0"/>
                <w:color w:val="auto"/>
                <w:sz w:val="16"/>
                <w:szCs w:val="16"/>
                <w:highlight w:val="none"/>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topLinePunct w:val="0"/>
              <w:bidi w:val="0"/>
              <w:jc w:val="right"/>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55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topLinePunct w:val="0"/>
              <w:bidi w:val="0"/>
              <w:jc w:val="left"/>
              <w:rPr>
                <w:rFonts w:hint="default" w:ascii="Times New Roman" w:hAnsi="Times New Roman" w:eastAsia="宋体" w:cs="Times New Roman"/>
                <w:i w:val="0"/>
                <w:iCs w:val="0"/>
                <w:color w:val="auto"/>
                <w:sz w:val="16"/>
                <w:szCs w:val="16"/>
                <w:highlight w:val="none"/>
                <w:u w:val="none"/>
              </w:rPr>
            </w:pPr>
          </w:p>
        </w:tc>
        <w:tc>
          <w:tcPr>
            <w:tcW w:w="14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topLinePunct w:val="0"/>
              <w:bidi w:val="0"/>
              <w:jc w:val="left"/>
              <w:rPr>
                <w:rFonts w:hint="default" w:ascii="Times New Roman" w:hAnsi="Times New Roman" w:eastAsia="宋体" w:cs="Times New Roman"/>
                <w:i w:val="0"/>
                <w:iCs w:val="0"/>
                <w:color w:val="auto"/>
                <w:sz w:val="16"/>
                <w:szCs w:val="16"/>
                <w:highlight w:val="none"/>
                <w:u w:val="none"/>
              </w:rPr>
            </w:pPr>
          </w:p>
        </w:tc>
        <w:tc>
          <w:tcPr>
            <w:tcW w:w="153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topLinePunct w:val="0"/>
              <w:bidi w:val="0"/>
              <w:jc w:val="right"/>
              <w:rPr>
                <w:rFonts w:hint="default" w:ascii="Times New Roman" w:hAnsi="Times New Roman" w:eastAsia="宋体" w:cs="Times New Roman"/>
                <w:i w:val="0"/>
                <w:iCs w:val="0"/>
                <w:color w:val="auto"/>
                <w:sz w:val="16"/>
                <w:szCs w:val="16"/>
                <w:highlight w:val="none"/>
                <w:u w:val="none"/>
              </w:rPr>
            </w:pPr>
          </w:p>
        </w:tc>
        <w:tc>
          <w:tcPr>
            <w:tcW w:w="24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topLinePunct w:val="0"/>
              <w:bidi w:val="0"/>
              <w:jc w:val="right"/>
              <w:rPr>
                <w:rFonts w:hint="default" w:ascii="Times New Roman" w:hAnsi="Times New Roman" w:eastAsia="宋体" w:cs="Times New Roman"/>
                <w:i w:val="0"/>
                <w:iCs w:val="0"/>
                <w:color w:val="auto"/>
                <w:sz w:val="16"/>
                <w:szCs w:val="16"/>
                <w:highlight w:val="none"/>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topLinePunct w:val="0"/>
              <w:bidi w:val="0"/>
              <w:jc w:val="right"/>
              <w:rPr>
                <w:rFonts w:hint="default" w:ascii="Times New Roman" w:hAnsi="Times New Roman" w:eastAsia="宋体" w:cs="Times New Roman"/>
                <w:i w:val="0"/>
                <w:iCs w:val="0"/>
                <w:color w:val="auto"/>
                <w:sz w:val="16"/>
                <w:szCs w:val="16"/>
                <w:highlight w:val="none"/>
                <w:u w:val="none"/>
              </w:rPr>
            </w:pPr>
          </w:p>
        </w:tc>
      </w:tr>
    </w:tbl>
    <w:p>
      <w:pPr>
        <w:keepNext w:val="0"/>
        <w:keepLines w:val="0"/>
        <w:pageBreakBefore w:val="0"/>
        <w:widowControl/>
        <w:suppressLineNumbers w:val="0"/>
        <w:kinsoku/>
        <w:wordWrap/>
        <w:topLinePunct w:val="0"/>
        <w:bidi w:val="0"/>
        <w:ind w:firstLine="160" w:firstLineChars="100"/>
        <w:jc w:val="left"/>
        <w:textAlignment w:val="center"/>
        <w:rPr>
          <w:rFonts w:hint="eastAsia" w:ascii="Times New Roman" w:hAnsi="Times New Roman" w:eastAsia="宋体" w:cs="Times New Roman"/>
          <w:i w:val="0"/>
          <w:iCs w:val="0"/>
          <w:snapToGrid w:val="0"/>
          <w:color w:val="auto"/>
          <w:kern w:val="0"/>
          <w:sz w:val="16"/>
          <w:szCs w:val="16"/>
          <w:highlight w:val="none"/>
          <w:u w:val="none"/>
          <w:lang w:val="en-US" w:eastAsia="zh-CN" w:bidi="ar"/>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注：本表反映部门本年度国有资本经营预算财政拨款支出情况</w:t>
      </w:r>
      <w:r>
        <w:rPr>
          <w:rFonts w:hint="eastAsia" w:ascii="Times New Roman" w:hAnsi="Times New Roman" w:eastAsia="宋体" w:cs="Times New Roman"/>
          <w:i w:val="0"/>
          <w:iCs w:val="0"/>
          <w:snapToGrid w:val="0"/>
          <w:color w:val="auto"/>
          <w:kern w:val="0"/>
          <w:sz w:val="16"/>
          <w:szCs w:val="16"/>
          <w:highlight w:val="none"/>
          <w:u w:val="none"/>
          <w:lang w:val="en-US" w:eastAsia="zh-CN" w:bidi="ar"/>
        </w:rPr>
        <w:t>。</w:t>
      </w:r>
    </w:p>
    <w:p>
      <w:pPr>
        <w:keepNext w:val="0"/>
        <w:keepLines w:val="0"/>
        <w:pageBreakBefore w:val="0"/>
        <w:widowControl/>
        <w:suppressLineNumbers w:val="0"/>
        <w:kinsoku/>
        <w:wordWrap/>
        <w:topLinePunct w:val="0"/>
        <w:bidi w:val="0"/>
        <w:ind w:firstLine="160" w:firstLineChars="100"/>
        <w:jc w:val="left"/>
        <w:textAlignment w:val="center"/>
        <w:rPr>
          <w:rFonts w:hint="default" w:ascii="Times New Roman" w:hAnsi="Times New Roman" w:cs="Times New Roman"/>
          <w:color w:val="auto"/>
          <w:highlight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说明：</w:t>
      </w:r>
      <w:r>
        <w:rPr>
          <w:rFonts w:hint="eastAsia" w:ascii="Times New Roman" w:hAnsi="Times New Roman" w:eastAsia="宋体" w:cs="Times New Roman"/>
          <w:i w:val="0"/>
          <w:iCs w:val="0"/>
          <w:snapToGrid w:val="0"/>
          <w:color w:val="auto"/>
          <w:kern w:val="0"/>
          <w:sz w:val="16"/>
          <w:szCs w:val="16"/>
          <w:highlight w:val="none"/>
          <w:u w:val="none"/>
          <w:lang w:val="en-US" w:eastAsia="zh-CN" w:bidi="ar"/>
        </w:rPr>
        <w:t>资兴市消防救援大队</w:t>
      </w:r>
      <w:r>
        <w:rPr>
          <w:rFonts w:hint="default" w:ascii="Times New Roman" w:hAnsi="Times New Roman" w:eastAsia="宋体" w:cs="Times New Roman"/>
          <w:i w:val="0"/>
          <w:iCs w:val="0"/>
          <w:snapToGrid w:val="0"/>
          <w:color w:val="auto"/>
          <w:kern w:val="0"/>
          <w:sz w:val="16"/>
          <w:szCs w:val="16"/>
          <w:highlight w:val="none"/>
          <w:u w:val="none"/>
          <w:lang w:val="en-US" w:eastAsia="zh-CN" w:bidi="ar"/>
        </w:rPr>
        <w:t>没有使用国有资本经营预算安排的支出，故本表无数据。</w:t>
      </w: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pPr>
        <w:keepNext w:val="0"/>
        <w:keepLines w:val="0"/>
        <w:pageBreakBefore w:val="0"/>
        <w:widowControl/>
        <w:kinsoku/>
        <w:wordWrap/>
        <w:topLinePunct w:val="0"/>
        <w:bidi w:val="0"/>
        <w:rPr>
          <w:rFonts w:hint="default" w:ascii="Times New Roman" w:hAnsi="Times New Roman" w:cs="Times New Roman"/>
          <w:color w:val="auto"/>
          <w:highlight w:val="none"/>
        </w:rPr>
      </w:pPr>
    </w:p>
    <w:tbl>
      <w:tblPr>
        <w:tblStyle w:val="11"/>
        <w:tblW w:w="97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2"/>
        <w:gridCol w:w="660"/>
        <w:gridCol w:w="880"/>
        <w:gridCol w:w="700"/>
        <w:gridCol w:w="930"/>
        <w:gridCol w:w="700"/>
        <w:gridCol w:w="870"/>
        <w:gridCol w:w="670"/>
        <w:gridCol w:w="890"/>
        <w:gridCol w:w="760"/>
        <w:gridCol w:w="880"/>
        <w:gridCol w:w="8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720" w:type="dxa"/>
            <w:gridSpan w:val="12"/>
            <w:tcBorders>
              <w:top w:val="nil"/>
              <w:left w:val="nil"/>
              <w:bottom w:val="nil"/>
              <w:right w:val="nil"/>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eastAsia" w:ascii="宋体" w:hAnsi="宋体" w:eastAsia="宋体" w:cs="宋体"/>
                <w:i w:val="0"/>
                <w:iCs w:val="0"/>
                <w:snapToGrid w:val="0"/>
                <w:color w:val="auto"/>
                <w:kern w:val="0"/>
                <w:sz w:val="32"/>
                <w:szCs w:val="32"/>
                <w:highlight w:val="none"/>
                <w:u w:val="none"/>
                <w:lang w:val="en-US" w:eastAsia="zh-CN" w:bidi="ar"/>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12" w:type="dxa"/>
            <w:tcBorders>
              <w:top w:val="nil"/>
              <w:left w:val="nil"/>
              <w:bottom w:val="nil"/>
              <w:right w:val="nil"/>
            </w:tcBorders>
            <w:shd w:val="clear" w:color="auto" w:fill="auto"/>
            <w:vAlign w:val="center"/>
          </w:tcPr>
          <w:p>
            <w:pPr>
              <w:keepNext w:val="0"/>
              <w:keepLines w:val="0"/>
              <w:pageBreakBefore w:val="0"/>
              <w:widowControl/>
              <w:kinsoku/>
              <w:wordWrap/>
              <w:topLinePunct w:val="0"/>
              <w:bidi w:val="0"/>
              <w:rPr>
                <w:rFonts w:hint="default" w:ascii="Times New Roman" w:hAnsi="Times New Roman" w:eastAsia="宋体" w:cs="Times New Roman"/>
                <w:i w:val="0"/>
                <w:iCs w:val="0"/>
                <w:color w:val="auto"/>
                <w:sz w:val="16"/>
                <w:szCs w:val="16"/>
                <w:highlight w:val="none"/>
                <w:u w:val="none"/>
              </w:rPr>
            </w:pPr>
          </w:p>
        </w:tc>
        <w:tc>
          <w:tcPr>
            <w:tcW w:w="660" w:type="dxa"/>
            <w:tcBorders>
              <w:top w:val="nil"/>
              <w:left w:val="nil"/>
              <w:bottom w:val="nil"/>
              <w:right w:val="nil"/>
            </w:tcBorders>
            <w:shd w:val="clear" w:color="auto" w:fill="auto"/>
            <w:vAlign w:val="center"/>
          </w:tcPr>
          <w:p>
            <w:pPr>
              <w:keepNext w:val="0"/>
              <w:keepLines w:val="0"/>
              <w:pageBreakBefore w:val="0"/>
              <w:widowControl/>
              <w:kinsoku/>
              <w:wordWrap/>
              <w:topLinePunct w:val="0"/>
              <w:bidi w:val="0"/>
              <w:rPr>
                <w:rFonts w:hint="default" w:ascii="Times New Roman" w:hAnsi="Times New Roman" w:eastAsia="宋体" w:cs="Times New Roman"/>
                <w:i w:val="0"/>
                <w:iCs w:val="0"/>
                <w:color w:val="auto"/>
                <w:sz w:val="16"/>
                <w:szCs w:val="16"/>
                <w:highlight w:val="none"/>
                <w:u w:val="none"/>
              </w:rPr>
            </w:pPr>
          </w:p>
        </w:tc>
        <w:tc>
          <w:tcPr>
            <w:tcW w:w="880" w:type="dxa"/>
            <w:tcBorders>
              <w:top w:val="nil"/>
              <w:left w:val="nil"/>
              <w:bottom w:val="nil"/>
              <w:right w:val="nil"/>
            </w:tcBorders>
            <w:shd w:val="clear" w:color="auto" w:fill="auto"/>
            <w:vAlign w:val="center"/>
          </w:tcPr>
          <w:p>
            <w:pPr>
              <w:keepNext w:val="0"/>
              <w:keepLines w:val="0"/>
              <w:pageBreakBefore w:val="0"/>
              <w:widowControl/>
              <w:kinsoku/>
              <w:wordWrap/>
              <w:topLinePunct w:val="0"/>
              <w:bidi w:val="0"/>
              <w:rPr>
                <w:rFonts w:hint="default" w:ascii="Times New Roman" w:hAnsi="Times New Roman" w:eastAsia="宋体" w:cs="Times New Roman"/>
                <w:i w:val="0"/>
                <w:iCs w:val="0"/>
                <w:color w:val="auto"/>
                <w:sz w:val="16"/>
                <w:szCs w:val="16"/>
                <w:highlight w:val="none"/>
                <w:u w:val="none"/>
              </w:rPr>
            </w:pPr>
          </w:p>
        </w:tc>
        <w:tc>
          <w:tcPr>
            <w:tcW w:w="700" w:type="dxa"/>
            <w:tcBorders>
              <w:top w:val="nil"/>
              <w:left w:val="nil"/>
              <w:bottom w:val="nil"/>
              <w:right w:val="nil"/>
            </w:tcBorders>
            <w:shd w:val="clear" w:color="auto" w:fill="auto"/>
            <w:vAlign w:val="center"/>
          </w:tcPr>
          <w:p>
            <w:pPr>
              <w:keepNext w:val="0"/>
              <w:keepLines w:val="0"/>
              <w:pageBreakBefore w:val="0"/>
              <w:widowControl/>
              <w:kinsoku/>
              <w:wordWrap/>
              <w:topLinePunct w:val="0"/>
              <w:bidi w:val="0"/>
              <w:rPr>
                <w:rFonts w:hint="default" w:ascii="Times New Roman" w:hAnsi="Times New Roman" w:eastAsia="宋体" w:cs="Times New Roman"/>
                <w:i w:val="0"/>
                <w:iCs w:val="0"/>
                <w:color w:val="auto"/>
                <w:sz w:val="16"/>
                <w:szCs w:val="16"/>
                <w:highlight w:val="none"/>
                <w:u w:val="none"/>
              </w:rPr>
            </w:pPr>
          </w:p>
        </w:tc>
        <w:tc>
          <w:tcPr>
            <w:tcW w:w="930" w:type="dxa"/>
            <w:tcBorders>
              <w:top w:val="nil"/>
              <w:left w:val="nil"/>
              <w:bottom w:val="nil"/>
              <w:right w:val="nil"/>
            </w:tcBorders>
            <w:shd w:val="clear" w:color="auto" w:fill="auto"/>
            <w:vAlign w:val="center"/>
          </w:tcPr>
          <w:p>
            <w:pPr>
              <w:keepNext w:val="0"/>
              <w:keepLines w:val="0"/>
              <w:pageBreakBefore w:val="0"/>
              <w:widowControl/>
              <w:kinsoku/>
              <w:wordWrap/>
              <w:topLinePunct w:val="0"/>
              <w:bidi w:val="0"/>
              <w:rPr>
                <w:rFonts w:hint="default" w:ascii="Times New Roman" w:hAnsi="Times New Roman" w:eastAsia="宋体" w:cs="Times New Roman"/>
                <w:i w:val="0"/>
                <w:iCs w:val="0"/>
                <w:color w:val="auto"/>
                <w:sz w:val="16"/>
                <w:szCs w:val="16"/>
                <w:highlight w:val="none"/>
                <w:u w:val="none"/>
              </w:rPr>
            </w:pPr>
          </w:p>
        </w:tc>
        <w:tc>
          <w:tcPr>
            <w:tcW w:w="700" w:type="dxa"/>
            <w:tcBorders>
              <w:top w:val="nil"/>
              <w:left w:val="nil"/>
              <w:bottom w:val="nil"/>
              <w:right w:val="nil"/>
            </w:tcBorders>
            <w:shd w:val="clear" w:color="auto" w:fill="auto"/>
            <w:vAlign w:val="center"/>
          </w:tcPr>
          <w:p>
            <w:pPr>
              <w:keepNext w:val="0"/>
              <w:keepLines w:val="0"/>
              <w:pageBreakBefore w:val="0"/>
              <w:widowControl/>
              <w:kinsoku/>
              <w:wordWrap/>
              <w:topLinePunct w:val="0"/>
              <w:bidi w:val="0"/>
              <w:rPr>
                <w:rFonts w:hint="default" w:ascii="Times New Roman" w:hAnsi="Times New Roman" w:eastAsia="宋体" w:cs="Times New Roman"/>
                <w:i w:val="0"/>
                <w:iCs w:val="0"/>
                <w:color w:val="auto"/>
                <w:sz w:val="16"/>
                <w:szCs w:val="16"/>
                <w:highlight w:val="none"/>
                <w:u w:val="none"/>
              </w:rPr>
            </w:pPr>
          </w:p>
        </w:tc>
        <w:tc>
          <w:tcPr>
            <w:tcW w:w="870" w:type="dxa"/>
            <w:tcBorders>
              <w:top w:val="nil"/>
              <w:left w:val="nil"/>
              <w:bottom w:val="nil"/>
              <w:right w:val="nil"/>
            </w:tcBorders>
            <w:shd w:val="clear" w:color="auto" w:fill="auto"/>
            <w:vAlign w:val="center"/>
          </w:tcPr>
          <w:p>
            <w:pPr>
              <w:keepNext w:val="0"/>
              <w:keepLines w:val="0"/>
              <w:pageBreakBefore w:val="0"/>
              <w:widowControl/>
              <w:kinsoku/>
              <w:wordWrap/>
              <w:topLinePunct w:val="0"/>
              <w:bidi w:val="0"/>
              <w:rPr>
                <w:rFonts w:hint="default" w:ascii="Times New Roman" w:hAnsi="Times New Roman" w:eastAsia="宋体" w:cs="Times New Roman"/>
                <w:i w:val="0"/>
                <w:iCs w:val="0"/>
                <w:color w:val="auto"/>
                <w:sz w:val="16"/>
                <w:szCs w:val="16"/>
                <w:highlight w:val="none"/>
                <w:u w:val="none"/>
              </w:rPr>
            </w:pPr>
          </w:p>
        </w:tc>
        <w:tc>
          <w:tcPr>
            <w:tcW w:w="670" w:type="dxa"/>
            <w:tcBorders>
              <w:top w:val="nil"/>
              <w:left w:val="nil"/>
              <w:bottom w:val="nil"/>
              <w:right w:val="nil"/>
            </w:tcBorders>
            <w:shd w:val="clear" w:color="auto" w:fill="auto"/>
            <w:vAlign w:val="center"/>
          </w:tcPr>
          <w:p>
            <w:pPr>
              <w:keepNext w:val="0"/>
              <w:keepLines w:val="0"/>
              <w:pageBreakBefore w:val="0"/>
              <w:widowControl/>
              <w:kinsoku/>
              <w:wordWrap/>
              <w:topLinePunct w:val="0"/>
              <w:bidi w:val="0"/>
              <w:rPr>
                <w:rFonts w:hint="default" w:ascii="Times New Roman" w:hAnsi="Times New Roman" w:eastAsia="宋体" w:cs="Times New Roman"/>
                <w:i w:val="0"/>
                <w:iCs w:val="0"/>
                <w:color w:val="auto"/>
                <w:sz w:val="16"/>
                <w:szCs w:val="16"/>
                <w:highlight w:val="none"/>
                <w:u w:val="none"/>
              </w:rPr>
            </w:pPr>
          </w:p>
        </w:tc>
        <w:tc>
          <w:tcPr>
            <w:tcW w:w="890" w:type="dxa"/>
            <w:tcBorders>
              <w:top w:val="nil"/>
              <w:left w:val="nil"/>
              <w:bottom w:val="nil"/>
              <w:right w:val="nil"/>
            </w:tcBorders>
            <w:shd w:val="clear" w:color="auto" w:fill="auto"/>
            <w:vAlign w:val="center"/>
          </w:tcPr>
          <w:p>
            <w:pPr>
              <w:keepNext w:val="0"/>
              <w:keepLines w:val="0"/>
              <w:pageBreakBefore w:val="0"/>
              <w:widowControl/>
              <w:kinsoku/>
              <w:wordWrap/>
              <w:topLinePunct w:val="0"/>
              <w:bidi w:val="0"/>
              <w:rPr>
                <w:rFonts w:hint="default" w:ascii="Times New Roman" w:hAnsi="Times New Roman" w:eastAsia="宋体" w:cs="Times New Roman"/>
                <w:i w:val="0"/>
                <w:iCs w:val="0"/>
                <w:color w:val="auto"/>
                <w:sz w:val="16"/>
                <w:szCs w:val="16"/>
                <w:highlight w:val="none"/>
                <w:u w:val="none"/>
              </w:rPr>
            </w:pPr>
          </w:p>
        </w:tc>
        <w:tc>
          <w:tcPr>
            <w:tcW w:w="760" w:type="dxa"/>
            <w:tcBorders>
              <w:top w:val="nil"/>
              <w:left w:val="nil"/>
              <w:bottom w:val="nil"/>
              <w:right w:val="nil"/>
            </w:tcBorders>
            <w:shd w:val="clear" w:color="auto" w:fill="auto"/>
            <w:vAlign w:val="center"/>
          </w:tcPr>
          <w:p>
            <w:pPr>
              <w:keepNext w:val="0"/>
              <w:keepLines w:val="0"/>
              <w:pageBreakBefore w:val="0"/>
              <w:widowControl/>
              <w:kinsoku/>
              <w:wordWrap/>
              <w:topLinePunct w:val="0"/>
              <w:bidi w:val="0"/>
              <w:rPr>
                <w:rFonts w:hint="default" w:ascii="Times New Roman" w:hAnsi="Times New Roman" w:eastAsia="宋体" w:cs="Times New Roman"/>
                <w:i w:val="0"/>
                <w:iCs w:val="0"/>
                <w:color w:val="auto"/>
                <w:sz w:val="16"/>
                <w:szCs w:val="16"/>
                <w:highlight w:val="none"/>
                <w:u w:val="none"/>
              </w:rPr>
            </w:pPr>
          </w:p>
        </w:tc>
        <w:tc>
          <w:tcPr>
            <w:tcW w:w="880" w:type="dxa"/>
            <w:tcBorders>
              <w:top w:val="nil"/>
              <w:left w:val="nil"/>
              <w:bottom w:val="nil"/>
              <w:right w:val="nil"/>
            </w:tcBorders>
            <w:shd w:val="clear" w:color="auto" w:fill="auto"/>
            <w:vAlign w:val="center"/>
          </w:tcPr>
          <w:p>
            <w:pPr>
              <w:keepNext w:val="0"/>
              <w:keepLines w:val="0"/>
              <w:pageBreakBefore w:val="0"/>
              <w:widowControl/>
              <w:kinsoku/>
              <w:wordWrap/>
              <w:topLinePunct w:val="0"/>
              <w:bidi w:val="0"/>
              <w:rPr>
                <w:rFonts w:hint="default" w:ascii="Times New Roman" w:hAnsi="Times New Roman" w:eastAsia="宋体" w:cs="Times New Roman"/>
                <w:i w:val="0"/>
                <w:iCs w:val="0"/>
                <w:color w:val="auto"/>
                <w:sz w:val="16"/>
                <w:szCs w:val="16"/>
                <w:highlight w:val="none"/>
                <w:u w:val="none"/>
              </w:rPr>
            </w:pPr>
          </w:p>
        </w:tc>
        <w:tc>
          <w:tcPr>
            <w:tcW w:w="868" w:type="dxa"/>
            <w:tcBorders>
              <w:top w:val="nil"/>
              <w:left w:val="nil"/>
              <w:bottom w:val="nil"/>
              <w:right w:val="nil"/>
            </w:tcBorders>
            <w:shd w:val="clear" w:color="auto" w:fill="auto"/>
            <w:vAlign w:val="center"/>
          </w:tcPr>
          <w:p>
            <w:pPr>
              <w:keepNext w:val="0"/>
              <w:keepLines w:val="0"/>
              <w:pageBreakBefore w:val="0"/>
              <w:widowControl/>
              <w:suppressLineNumbers w:val="0"/>
              <w:kinsoku/>
              <w:wordWrap/>
              <w:topLinePunct w:val="0"/>
              <w:bidi w:val="0"/>
              <w:jc w:val="right"/>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782" w:type="dxa"/>
            <w:gridSpan w:val="6"/>
            <w:tcBorders>
              <w:top w:val="nil"/>
              <w:left w:val="nil"/>
              <w:bottom w:val="nil"/>
              <w:right w:val="nil"/>
            </w:tcBorders>
            <w:shd w:val="clear" w:color="auto" w:fill="auto"/>
            <w:vAlign w:val="center"/>
          </w:tcPr>
          <w:p>
            <w:pPr>
              <w:keepNext w:val="0"/>
              <w:keepLines w:val="0"/>
              <w:pageBreakBefore w:val="0"/>
              <w:widowControl/>
              <w:suppressLineNumbers w:val="0"/>
              <w:kinsoku/>
              <w:wordWrap/>
              <w:topLinePunct w:val="0"/>
              <w:bidi w:val="0"/>
              <w:jc w:val="left"/>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部门：</w:t>
            </w:r>
            <w:r>
              <w:rPr>
                <w:rFonts w:hint="eastAsia" w:ascii="Times New Roman" w:hAnsi="Times New Roman" w:eastAsia="宋体" w:cs="Times New Roman"/>
                <w:i w:val="0"/>
                <w:iCs w:val="0"/>
                <w:snapToGrid w:val="0"/>
                <w:color w:val="auto"/>
                <w:kern w:val="0"/>
                <w:sz w:val="16"/>
                <w:szCs w:val="16"/>
                <w:highlight w:val="none"/>
                <w:u w:val="none"/>
                <w:lang w:val="en-US" w:eastAsia="zh-CN" w:bidi="ar"/>
              </w:rPr>
              <w:t>资兴市消防救援大队</w:t>
            </w:r>
          </w:p>
        </w:tc>
        <w:tc>
          <w:tcPr>
            <w:tcW w:w="870" w:type="dxa"/>
            <w:tcBorders>
              <w:top w:val="nil"/>
              <w:left w:val="nil"/>
              <w:bottom w:val="nil"/>
              <w:right w:val="nil"/>
            </w:tcBorders>
            <w:shd w:val="clear" w:color="auto" w:fill="auto"/>
            <w:vAlign w:val="center"/>
          </w:tcPr>
          <w:p>
            <w:pPr>
              <w:keepNext w:val="0"/>
              <w:keepLines w:val="0"/>
              <w:pageBreakBefore w:val="0"/>
              <w:widowControl/>
              <w:kinsoku/>
              <w:wordWrap/>
              <w:topLinePunct w:val="0"/>
              <w:bidi w:val="0"/>
              <w:jc w:val="both"/>
              <w:rPr>
                <w:rFonts w:hint="default" w:ascii="Times New Roman" w:hAnsi="Times New Roman" w:eastAsia="宋体" w:cs="Times New Roman"/>
                <w:i w:val="0"/>
                <w:iCs w:val="0"/>
                <w:color w:val="auto"/>
                <w:sz w:val="16"/>
                <w:szCs w:val="16"/>
                <w:highlight w:val="none"/>
                <w:u w:val="none"/>
                <w:lang w:val="en-US" w:eastAsia="zh-CN"/>
              </w:rPr>
            </w:pPr>
          </w:p>
        </w:tc>
        <w:tc>
          <w:tcPr>
            <w:tcW w:w="670" w:type="dxa"/>
            <w:tcBorders>
              <w:top w:val="nil"/>
              <w:left w:val="nil"/>
              <w:bottom w:val="nil"/>
              <w:right w:val="nil"/>
            </w:tcBorders>
            <w:shd w:val="clear" w:color="auto" w:fill="auto"/>
            <w:vAlign w:val="center"/>
          </w:tcPr>
          <w:p>
            <w:pPr>
              <w:keepNext w:val="0"/>
              <w:keepLines w:val="0"/>
              <w:pageBreakBefore w:val="0"/>
              <w:widowControl/>
              <w:kinsoku/>
              <w:wordWrap/>
              <w:topLinePunct w:val="0"/>
              <w:bidi w:val="0"/>
              <w:rPr>
                <w:rFonts w:hint="default" w:ascii="Times New Roman" w:hAnsi="Times New Roman" w:eastAsia="宋体" w:cs="Times New Roman"/>
                <w:i w:val="0"/>
                <w:iCs w:val="0"/>
                <w:color w:val="auto"/>
                <w:sz w:val="16"/>
                <w:szCs w:val="16"/>
                <w:highlight w:val="none"/>
                <w:u w:val="none"/>
              </w:rPr>
            </w:pPr>
          </w:p>
        </w:tc>
        <w:tc>
          <w:tcPr>
            <w:tcW w:w="890" w:type="dxa"/>
            <w:tcBorders>
              <w:top w:val="nil"/>
              <w:left w:val="nil"/>
              <w:bottom w:val="nil"/>
              <w:right w:val="nil"/>
            </w:tcBorders>
            <w:shd w:val="clear" w:color="auto" w:fill="auto"/>
            <w:vAlign w:val="center"/>
          </w:tcPr>
          <w:p>
            <w:pPr>
              <w:keepNext w:val="0"/>
              <w:keepLines w:val="0"/>
              <w:pageBreakBefore w:val="0"/>
              <w:widowControl/>
              <w:kinsoku/>
              <w:wordWrap/>
              <w:topLinePunct w:val="0"/>
              <w:bidi w:val="0"/>
              <w:rPr>
                <w:rFonts w:hint="default" w:ascii="Times New Roman" w:hAnsi="Times New Roman" w:eastAsia="宋体" w:cs="Times New Roman"/>
                <w:i w:val="0"/>
                <w:iCs w:val="0"/>
                <w:color w:val="auto"/>
                <w:sz w:val="16"/>
                <w:szCs w:val="16"/>
                <w:highlight w:val="none"/>
                <w:u w:val="none"/>
              </w:rPr>
            </w:pPr>
          </w:p>
        </w:tc>
        <w:tc>
          <w:tcPr>
            <w:tcW w:w="760" w:type="dxa"/>
            <w:tcBorders>
              <w:top w:val="nil"/>
              <w:left w:val="nil"/>
              <w:bottom w:val="nil"/>
              <w:right w:val="nil"/>
            </w:tcBorders>
            <w:shd w:val="clear" w:color="auto" w:fill="auto"/>
            <w:vAlign w:val="center"/>
          </w:tcPr>
          <w:p>
            <w:pPr>
              <w:keepNext w:val="0"/>
              <w:keepLines w:val="0"/>
              <w:pageBreakBefore w:val="0"/>
              <w:widowControl/>
              <w:kinsoku/>
              <w:wordWrap/>
              <w:topLinePunct w:val="0"/>
              <w:bidi w:val="0"/>
              <w:rPr>
                <w:rFonts w:hint="default" w:ascii="Times New Roman" w:hAnsi="Times New Roman" w:eastAsia="宋体" w:cs="Times New Roman"/>
                <w:i w:val="0"/>
                <w:iCs w:val="0"/>
                <w:color w:val="auto"/>
                <w:sz w:val="16"/>
                <w:szCs w:val="16"/>
                <w:highlight w:val="none"/>
                <w:u w:val="none"/>
              </w:rPr>
            </w:pPr>
          </w:p>
        </w:tc>
        <w:tc>
          <w:tcPr>
            <w:tcW w:w="1748" w:type="dxa"/>
            <w:gridSpan w:val="2"/>
            <w:tcBorders>
              <w:top w:val="nil"/>
              <w:left w:val="nil"/>
              <w:bottom w:val="nil"/>
              <w:right w:val="nil"/>
            </w:tcBorders>
            <w:shd w:val="clear" w:color="auto" w:fill="auto"/>
            <w:vAlign w:val="center"/>
          </w:tcPr>
          <w:p>
            <w:pPr>
              <w:keepNext w:val="0"/>
              <w:keepLines w:val="0"/>
              <w:pageBreakBefore w:val="0"/>
              <w:widowControl/>
              <w:suppressLineNumbers w:val="0"/>
              <w:kinsoku/>
              <w:wordWrap/>
              <w:topLinePunct w:val="0"/>
              <w:bidi w:val="0"/>
              <w:jc w:val="right"/>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78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预算数</w:t>
            </w:r>
          </w:p>
        </w:tc>
        <w:tc>
          <w:tcPr>
            <w:tcW w:w="493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合计</w:t>
            </w:r>
          </w:p>
        </w:tc>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因公出国 （境）费</w:t>
            </w:r>
          </w:p>
        </w:tc>
        <w:tc>
          <w:tcPr>
            <w:tcW w:w="2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公务用车购置及运行维护费</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公务接待费</w:t>
            </w:r>
          </w:p>
        </w:tc>
        <w:tc>
          <w:tcPr>
            <w:tcW w:w="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合计</w:t>
            </w:r>
          </w:p>
        </w:tc>
        <w:tc>
          <w:tcPr>
            <w:tcW w:w="6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因公出国 （境）费</w:t>
            </w:r>
          </w:p>
        </w:tc>
        <w:tc>
          <w:tcPr>
            <w:tcW w:w="25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公务用车购置及运行维护费</w:t>
            </w:r>
          </w:p>
        </w:tc>
        <w:tc>
          <w:tcPr>
            <w:tcW w:w="8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公务接    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center"/>
              <w:rPr>
                <w:rFonts w:hint="default" w:ascii="Times New Roman" w:hAnsi="Times New Roman" w:eastAsia="宋体" w:cs="Times New Roman"/>
                <w:i w:val="0"/>
                <w:iCs w:val="0"/>
                <w:color w:val="auto"/>
                <w:sz w:val="16"/>
                <w:szCs w:val="16"/>
                <w:highlight w:val="none"/>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center"/>
              <w:rPr>
                <w:rFonts w:hint="default" w:ascii="Times New Roman" w:hAnsi="Times New Roman" w:eastAsia="宋体" w:cs="Times New Roman"/>
                <w:i w:val="0"/>
                <w:iCs w:val="0"/>
                <w:color w:val="auto"/>
                <w:sz w:val="16"/>
                <w:szCs w:val="16"/>
                <w:highlight w:val="none"/>
                <w:u w:val="none"/>
              </w:rPr>
            </w:pPr>
          </w:p>
        </w:tc>
        <w:tc>
          <w:tcPr>
            <w:tcW w:w="8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 xml:space="preserve">小计 </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公务用车购置费</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公务用车运行维护费</w:t>
            </w: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center"/>
              <w:rPr>
                <w:rFonts w:hint="default" w:ascii="Times New Roman" w:hAnsi="Times New Roman" w:eastAsia="宋体" w:cs="Times New Roman"/>
                <w:i w:val="0"/>
                <w:iCs w:val="0"/>
                <w:color w:val="auto"/>
                <w:sz w:val="16"/>
                <w:szCs w:val="16"/>
                <w:highlight w:val="none"/>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center"/>
              <w:rPr>
                <w:rFonts w:hint="default" w:ascii="Times New Roman" w:hAnsi="Times New Roman" w:eastAsia="宋体" w:cs="Times New Roman"/>
                <w:i w:val="0"/>
                <w:iCs w:val="0"/>
                <w:color w:val="auto"/>
                <w:sz w:val="16"/>
                <w:szCs w:val="16"/>
                <w:highlight w:val="none"/>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center"/>
              <w:rPr>
                <w:rFonts w:hint="default" w:ascii="Times New Roman" w:hAnsi="Times New Roman" w:eastAsia="宋体" w:cs="Times New Roman"/>
                <w:i w:val="0"/>
                <w:iCs w:val="0"/>
                <w:color w:val="auto"/>
                <w:sz w:val="16"/>
                <w:szCs w:val="16"/>
                <w:highlight w:val="none"/>
                <w:u w:val="none"/>
              </w:rPr>
            </w:pPr>
          </w:p>
        </w:tc>
        <w:tc>
          <w:tcPr>
            <w:tcW w:w="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 xml:space="preserve">小计 </w:t>
            </w:r>
          </w:p>
        </w:tc>
        <w:tc>
          <w:tcPr>
            <w:tcW w:w="7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公务用车购置费</w:t>
            </w:r>
          </w:p>
        </w:tc>
        <w:tc>
          <w:tcPr>
            <w:tcW w:w="8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公务用车运行维护费</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center"/>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center"/>
              <w:rPr>
                <w:rFonts w:hint="default" w:ascii="Times New Roman" w:hAnsi="Times New Roman" w:eastAsia="宋体" w:cs="Times New Roman"/>
                <w:i w:val="0"/>
                <w:iCs w:val="0"/>
                <w:color w:val="auto"/>
                <w:sz w:val="16"/>
                <w:szCs w:val="16"/>
                <w:highlight w:val="none"/>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center"/>
              <w:rPr>
                <w:rFonts w:hint="default" w:ascii="Times New Roman" w:hAnsi="Times New Roman" w:eastAsia="宋体" w:cs="Times New Roman"/>
                <w:i w:val="0"/>
                <w:iCs w:val="0"/>
                <w:color w:val="auto"/>
                <w:sz w:val="16"/>
                <w:szCs w:val="16"/>
                <w:highlight w:val="none"/>
                <w:u w:val="none"/>
              </w:rPr>
            </w:pP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center"/>
              <w:rPr>
                <w:rFonts w:hint="default" w:ascii="Times New Roman" w:hAnsi="Times New Roman" w:eastAsia="宋体" w:cs="Times New Roman"/>
                <w:i w:val="0"/>
                <w:iCs w:val="0"/>
                <w:color w:val="auto"/>
                <w:sz w:val="16"/>
                <w:szCs w:val="16"/>
                <w:highlight w:val="none"/>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center"/>
              <w:rPr>
                <w:rFonts w:hint="default" w:ascii="Times New Roman" w:hAnsi="Times New Roman" w:eastAsia="宋体" w:cs="Times New Roman"/>
                <w:i w:val="0"/>
                <w:iCs w:val="0"/>
                <w:color w:val="auto"/>
                <w:sz w:val="16"/>
                <w:szCs w:val="16"/>
                <w:highlight w:val="none"/>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center"/>
              <w:rPr>
                <w:rFonts w:hint="default" w:ascii="Times New Roman" w:hAnsi="Times New Roman" w:eastAsia="宋体" w:cs="Times New Roman"/>
                <w:i w:val="0"/>
                <w:iCs w:val="0"/>
                <w:color w:val="auto"/>
                <w:sz w:val="16"/>
                <w:szCs w:val="16"/>
                <w:highlight w:val="none"/>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center"/>
              <w:rPr>
                <w:rFonts w:hint="default" w:ascii="Times New Roman" w:hAnsi="Times New Roman" w:eastAsia="宋体" w:cs="Times New Roman"/>
                <w:i w:val="0"/>
                <w:iCs w:val="0"/>
                <w:color w:val="auto"/>
                <w:sz w:val="16"/>
                <w:szCs w:val="16"/>
                <w:highlight w:val="none"/>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center"/>
              <w:rPr>
                <w:rFonts w:hint="default" w:ascii="Times New Roman" w:hAnsi="Times New Roman" w:eastAsia="宋体" w:cs="Times New Roman"/>
                <w:i w:val="0"/>
                <w:iCs w:val="0"/>
                <w:color w:val="auto"/>
                <w:sz w:val="16"/>
                <w:szCs w:val="16"/>
                <w:highlight w:val="none"/>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center"/>
              <w:rPr>
                <w:rFonts w:hint="default" w:ascii="Times New Roman" w:hAnsi="Times New Roman" w:eastAsia="宋体" w:cs="Times New Roman"/>
                <w:i w:val="0"/>
                <w:iCs w:val="0"/>
                <w:color w:val="auto"/>
                <w:sz w:val="16"/>
                <w:szCs w:val="16"/>
                <w:highlight w:val="none"/>
                <w:u w:val="none"/>
              </w:rPr>
            </w:pPr>
          </w:p>
        </w:tc>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center"/>
              <w:rPr>
                <w:rFonts w:hint="default" w:ascii="Times New Roman" w:hAnsi="Times New Roman" w:eastAsia="宋体" w:cs="Times New Roman"/>
                <w:i w:val="0"/>
                <w:iCs w:val="0"/>
                <w:color w:val="auto"/>
                <w:sz w:val="16"/>
                <w:szCs w:val="16"/>
                <w:highlight w:val="none"/>
                <w:u w:val="none"/>
              </w:rPr>
            </w:pPr>
          </w:p>
        </w:tc>
        <w:tc>
          <w:tcPr>
            <w:tcW w:w="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center"/>
              <w:rPr>
                <w:rFonts w:hint="default" w:ascii="Times New Roman" w:hAnsi="Times New Roman" w:eastAsia="宋体" w:cs="Times New Roman"/>
                <w:i w:val="0"/>
                <w:iCs w:val="0"/>
                <w:color w:val="auto"/>
                <w:sz w:val="16"/>
                <w:szCs w:val="16"/>
                <w:highlight w:val="none"/>
                <w:u w:val="none"/>
              </w:rPr>
            </w:pP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center"/>
              <w:rPr>
                <w:rFonts w:hint="default" w:ascii="Times New Roman" w:hAnsi="Times New Roman" w:eastAsia="宋体" w:cs="Times New Roman"/>
                <w:i w:val="0"/>
                <w:iCs w:val="0"/>
                <w:color w:val="auto"/>
                <w:sz w:val="16"/>
                <w:szCs w:val="16"/>
                <w:highlight w:val="none"/>
                <w:u w:val="none"/>
              </w:rPr>
            </w:pP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center"/>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3</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4</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5</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6</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7</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8</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9</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11</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right"/>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color w:val="auto"/>
                <w:sz w:val="16"/>
                <w:szCs w:val="16"/>
                <w:highlight w:val="none"/>
                <w:u w:val="none"/>
              </w:rPr>
              <w:t>3.91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right"/>
              <w:textAlignment w:val="center"/>
              <w:rPr>
                <w:rFonts w:hint="default" w:ascii="Times New Roman" w:hAnsi="Times New Roman" w:eastAsia="宋体" w:cs="Times New Roman"/>
                <w:i w:val="0"/>
                <w:iCs w:val="0"/>
                <w:color w:val="auto"/>
                <w:sz w:val="16"/>
                <w:szCs w:val="16"/>
                <w:highlight w:val="none"/>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right"/>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color w:val="auto"/>
                <w:sz w:val="16"/>
                <w:szCs w:val="16"/>
                <w:highlight w:val="none"/>
                <w:u w:val="none"/>
              </w:rPr>
              <w:t>3.91</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right"/>
              <w:rPr>
                <w:rFonts w:hint="default" w:ascii="Times New Roman" w:hAnsi="Times New Roman" w:eastAsia="宋体" w:cs="Times New Roman"/>
                <w:i w:val="0"/>
                <w:iCs w:val="0"/>
                <w:color w:val="auto"/>
                <w:sz w:val="16"/>
                <w:szCs w:val="16"/>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right"/>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color w:val="auto"/>
                <w:sz w:val="16"/>
                <w:szCs w:val="16"/>
                <w:highlight w:val="none"/>
                <w:u w:val="none"/>
              </w:rPr>
              <w:t>3.91</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right"/>
              <w:textAlignment w:val="center"/>
              <w:rPr>
                <w:rFonts w:hint="default" w:ascii="Times New Roman" w:hAnsi="Times New Roman" w:eastAsia="宋体" w:cs="Times New Roman"/>
                <w:i w:val="0"/>
                <w:iCs w:val="0"/>
                <w:color w:val="auto"/>
                <w:sz w:val="16"/>
                <w:szCs w:val="16"/>
                <w:highlight w:val="none"/>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right"/>
              <w:textAlignment w:val="center"/>
              <w:rPr>
                <w:rFonts w:hint="default" w:ascii="Times New Roman" w:hAnsi="Times New Roman" w:eastAsia="宋体" w:cs="Times New Roman"/>
                <w:i w:val="0"/>
                <w:iCs w:val="0"/>
                <w:color w:val="auto"/>
                <w:sz w:val="16"/>
                <w:szCs w:val="16"/>
                <w:highlight w:val="none"/>
                <w:u w:val="none"/>
                <w:lang w:val="en-US"/>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right"/>
              <w:textAlignment w:val="center"/>
              <w:rPr>
                <w:rFonts w:hint="default" w:ascii="Times New Roman" w:hAnsi="Times New Roman" w:eastAsia="宋体" w:cs="Times New Roman"/>
                <w:i w:val="0"/>
                <w:iCs w:val="0"/>
                <w:color w:val="auto"/>
                <w:sz w:val="16"/>
                <w:szCs w:val="16"/>
                <w:highlight w:val="none"/>
                <w:u w:val="none"/>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right"/>
              <w:textAlignment w:val="center"/>
              <w:rPr>
                <w:rFonts w:hint="default" w:ascii="Times New Roman" w:hAnsi="Times New Roman" w:eastAsia="宋体" w:cs="Times New Roman"/>
                <w:i w:val="0"/>
                <w:iCs w:val="0"/>
                <w:color w:val="auto"/>
                <w:sz w:val="16"/>
                <w:szCs w:val="16"/>
                <w:highlight w:val="none"/>
                <w:u w:val="none"/>
              </w:rPr>
            </w:pP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right"/>
              <w:rPr>
                <w:rFonts w:hint="default" w:ascii="Times New Roman" w:hAnsi="Times New Roman" w:eastAsia="宋体" w:cs="Times New Roman"/>
                <w:i w:val="0"/>
                <w:iCs w:val="0"/>
                <w:color w:val="auto"/>
                <w:sz w:val="16"/>
                <w:szCs w:val="16"/>
                <w:highlight w:val="none"/>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right"/>
              <w:textAlignment w:val="center"/>
              <w:rPr>
                <w:rFonts w:hint="default" w:ascii="Times New Roman" w:hAnsi="Times New Roman" w:eastAsia="宋体" w:cs="Times New Roman"/>
                <w:i w:val="0"/>
                <w:iCs w:val="0"/>
                <w:color w:val="auto"/>
                <w:sz w:val="16"/>
                <w:szCs w:val="16"/>
                <w:highlight w:val="none"/>
                <w:u w:val="none"/>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right"/>
              <w:textAlignment w:val="center"/>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9720" w:type="dxa"/>
            <w:gridSpan w:val="12"/>
            <w:tcBorders>
              <w:top w:val="nil"/>
              <w:left w:val="nil"/>
              <w:bottom w:val="nil"/>
              <w:right w:val="nil"/>
            </w:tcBorders>
            <w:shd w:val="clear" w:color="auto" w:fill="auto"/>
            <w:vAlign w:val="center"/>
          </w:tcPr>
          <w:p>
            <w:pPr>
              <w:keepNext w:val="0"/>
              <w:keepLines w:val="0"/>
              <w:pageBreakBefore w:val="0"/>
              <w:widowControl/>
              <w:suppressLineNumbers w:val="0"/>
              <w:kinsoku/>
              <w:wordWrap/>
              <w:topLinePunct w:val="0"/>
              <w:bidi w:val="0"/>
              <w:ind w:firstLine="160" w:firstLineChars="100"/>
              <w:jc w:val="left"/>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注：本表反映部门本年度财政拨款</w:t>
            </w:r>
            <w:r>
              <w:rPr>
                <w:rFonts w:hint="eastAsia" w:ascii="Times New Roman" w:hAnsi="Times New Roman" w:eastAsia="宋体" w:cs="Times New Roman"/>
                <w:i w:val="0"/>
                <w:iCs w:val="0"/>
                <w:snapToGrid w:val="0"/>
                <w:color w:val="auto"/>
                <w:kern w:val="0"/>
                <w:sz w:val="16"/>
                <w:szCs w:val="16"/>
                <w:highlight w:val="none"/>
                <w:u w:val="none"/>
                <w:lang w:val="en-US" w:eastAsia="zh-CN" w:bidi="ar"/>
              </w:rPr>
              <w:t>“</w:t>
            </w:r>
            <w:r>
              <w:rPr>
                <w:rFonts w:hint="default" w:ascii="Times New Roman" w:hAnsi="Times New Roman" w:eastAsia="宋体" w:cs="Times New Roman"/>
                <w:i w:val="0"/>
                <w:iCs w:val="0"/>
                <w:snapToGrid w:val="0"/>
                <w:color w:val="auto"/>
                <w:kern w:val="0"/>
                <w:sz w:val="16"/>
                <w:szCs w:val="16"/>
                <w:highlight w:val="none"/>
                <w:u w:val="none"/>
                <w:lang w:val="en-US" w:eastAsia="zh-CN" w:bidi="ar"/>
              </w:rPr>
              <w:t>三公”经费支出预决算情况。其中，预算数为</w:t>
            </w:r>
            <w:r>
              <w:rPr>
                <w:rFonts w:hint="eastAsia" w:ascii="Times New Roman" w:hAnsi="Times New Roman" w:eastAsia="宋体" w:cs="Times New Roman"/>
                <w:i w:val="0"/>
                <w:iCs w:val="0"/>
                <w:snapToGrid w:val="0"/>
                <w:color w:val="auto"/>
                <w:kern w:val="0"/>
                <w:sz w:val="16"/>
                <w:szCs w:val="16"/>
                <w:highlight w:val="none"/>
                <w:u w:val="none"/>
                <w:lang w:val="en-US" w:eastAsia="zh-CN" w:bidi="ar"/>
              </w:rPr>
              <w:t>“</w:t>
            </w:r>
            <w:r>
              <w:rPr>
                <w:rFonts w:hint="default" w:ascii="Times New Roman" w:hAnsi="Times New Roman" w:eastAsia="宋体" w:cs="Times New Roman"/>
                <w:i w:val="0"/>
                <w:iCs w:val="0"/>
                <w:snapToGrid w:val="0"/>
                <w:color w:val="auto"/>
                <w:kern w:val="0"/>
                <w:sz w:val="16"/>
                <w:szCs w:val="16"/>
                <w:highlight w:val="none"/>
                <w:u w:val="none"/>
                <w:lang w:val="en-US" w:eastAsia="zh-CN" w:bidi="ar"/>
              </w:rPr>
              <w:t>三公”经费全年预算数，反映按规定程序调整后的预算数；决算数是包括当年财政拨款和以前年度结转资金安排的实际支出。</w:t>
            </w:r>
          </w:p>
        </w:tc>
      </w:tr>
    </w:tbl>
    <w:p>
      <w:pPr>
        <w:keepNext w:val="0"/>
        <w:keepLines w:val="0"/>
        <w:pageBreakBefore w:val="0"/>
        <w:widowControl/>
        <w:kinsoku/>
        <w:wordWrap/>
        <w:topLinePunct w:val="0"/>
        <w:bidi w:val="0"/>
        <w:rPr>
          <w:rFonts w:hint="default" w:ascii="Times New Roman" w:hAnsi="Times New Roman" w:cs="Times New Roman"/>
          <w:color w:val="auto"/>
          <w:highlight w:val="none"/>
        </w:rPr>
      </w:pPr>
    </w:p>
    <w:p>
      <w:pPr>
        <w:keepNext w:val="0"/>
        <w:keepLines w:val="0"/>
        <w:pageBreakBefore w:val="0"/>
        <w:widowControl/>
        <w:kinsoku/>
        <w:wordWrap/>
        <w:topLinePunct w:val="0"/>
        <w:bidi w:val="0"/>
        <w:rPr>
          <w:rFonts w:hint="default" w:ascii="Arial" w:hAnsi="Arial" w:eastAsia="Arial" w:cs="Arial"/>
          <w:snapToGrid w:val="0"/>
          <w:color w:val="auto"/>
          <w:kern w:val="0"/>
          <w:sz w:val="21"/>
          <w:szCs w:val="21"/>
          <w:highlight w:val="none"/>
          <w:lang w:val="en-US" w:eastAsia="en-US" w:bidi="ar-SA"/>
        </w:rPr>
      </w:pPr>
    </w:p>
    <w:p>
      <w:pPr>
        <w:keepNext w:val="0"/>
        <w:keepLines w:val="0"/>
        <w:pageBreakBefore w:val="0"/>
        <w:widowControl/>
        <w:kinsoku/>
        <w:wordWrap/>
        <w:topLinePunct w:val="0"/>
        <w:bidi w:val="0"/>
        <w:rPr>
          <w:rFonts w:hint="default"/>
          <w:color w:val="auto"/>
          <w:highlight w:val="none"/>
          <w:lang w:val="en-US" w:eastAsia="en-US"/>
        </w:rPr>
      </w:pPr>
    </w:p>
    <w:p>
      <w:pPr>
        <w:keepNext w:val="0"/>
        <w:keepLines w:val="0"/>
        <w:pageBreakBefore w:val="0"/>
        <w:widowControl/>
        <w:kinsoku/>
        <w:wordWrap/>
        <w:topLinePunct w:val="0"/>
        <w:bidi w:val="0"/>
        <w:rPr>
          <w:rFonts w:hint="default"/>
          <w:color w:val="auto"/>
          <w:highlight w:val="none"/>
          <w:lang w:val="en-US" w:eastAsia="en-US"/>
        </w:rPr>
      </w:pPr>
    </w:p>
    <w:p>
      <w:pPr>
        <w:keepNext w:val="0"/>
        <w:keepLines w:val="0"/>
        <w:pageBreakBefore w:val="0"/>
        <w:widowControl/>
        <w:kinsoku/>
        <w:wordWrap/>
        <w:topLinePunct w:val="0"/>
        <w:bidi w:val="0"/>
        <w:rPr>
          <w:rFonts w:hint="default"/>
          <w:color w:val="auto"/>
          <w:highlight w:val="none"/>
          <w:lang w:val="en-US" w:eastAsia="en-US"/>
        </w:rPr>
      </w:pPr>
    </w:p>
    <w:p>
      <w:pPr>
        <w:keepNext w:val="0"/>
        <w:keepLines w:val="0"/>
        <w:pageBreakBefore w:val="0"/>
        <w:widowControl/>
        <w:kinsoku/>
        <w:wordWrap/>
        <w:topLinePunct w:val="0"/>
        <w:bidi w:val="0"/>
        <w:rPr>
          <w:rFonts w:hint="default"/>
          <w:color w:val="auto"/>
          <w:highlight w:val="none"/>
          <w:lang w:val="en-US" w:eastAsia="en-US"/>
        </w:rPr>
      </w:pPr>
    </w:p>
    <w:p>
      <w:pPr>
        <w:keepNext w:val="0"/>
        <w:keepLines w:val="0"/>
        <w:pageBreakBefore w:val="0"/>
        <w:widowControl/>
        <w:kinsoku/>
        <w:wordWrap/>
        <w:topLinePunct w:val="0"/>
        <w:bidi w:val="0"/>
        <w:rPr>
          <w:rFonts w:hint="default"/>
          <w:color w:val="auto"/>
          <w:highlight w:val="none"/>
          <w:lang w:val="en-US" w:eastAsia="en-US"/>
        </w:rPr>
      </w:pPr>
    </w:p>
    <w:p>
      <w:pPr>
        <w:keepNext w:val="0"/>
        <w:keepLines w:val="0"/>
        <w:pageBreakBefore w:val="0"/>
        <w:widowControl/>
        <w:tabs>
          <w:tab w:val="center" w:pos="4320"/>
        </w:tabs>
        <w:kinsoku/>
        <w:wordWrap/>
        <w:topLinePunct w:val="0"/>
        <w:bidi w:val="0"/>
        <w:jc w:val="left"/>
        <w:rPr>
          <w:rFonts w:hint="eastAsia" w:eastAsia="宋体"/>
          <w:color w:val="auto"/>
          <w:highlight w:val="none"/>
          <w:lang w:val="en-US" w:eastAsia="zh-CN"/>
        </w:rPr>
        <w:sectPr>
          <w:pgSz w:w="11907" w:h="16839"/>
          <w:pgMar w:top="1429" w:right="1531" w:bottom="941" w:left="1532" w:header="0" w:footer="675" w:gutter="0"/>
          <w:pgBorders>
            <w:top w:val="none" w:sz="0" w:space="0"/>
            <w:left w:val="none" w:sz="0" w:space="0"/>
            <w:bottom w:val="none" w:sz="0" w:space="0"/>
            <w:right w:val="none" w:sz="0" w:space="0"/>
          </w:pgBorders>
          <w:pgNumType w:fmt="decimal"/>
          <w:cols w:equalWidth="0" w:num="1">
            <w:col w:w="8640"/>
          </w:cols>
          <w:rtlGutter w:val="0"/>
          <w:docGrid w:linePitch="0" w:charSpace="0"/>
        </w:sectPr>
      </w:pPr>
      <w:r>
        <w:rPr>
          <w:rFonts w:hint="eastAsia" w:eastAsia="宋体"/>
          <w:color w:val="auto"/>
          <w:highlight w:val="none"/>
          <w:lang w:val="en-US" w:eastAsia="zh-CN"/>
        </w:rPr>
        <w:tab/>
      </w:r>
    </w:p>
    <w:p>
      <w:pPr>
        <w:pStyle w:val="5"/>
        <w:keepNext w:val="0"/>
        <w:keepLines w:val="0"/>
        <w:pageBreakBefore w:val="0"/>
        <w:widowControl/>
        <w:kinsoku/>
        <w:wordWrap/>
        <w:topLinePunct w:val="0"/>
        <w:bidi w:val="0"/>
        <w:spacing w:line="248" w:lineRule="auto"/>
        <w:rPr>
          <w:rFonts w:hint="default" w:ascii="Times New Roman" w:hAnsi="Times New Roman" w:cs="Times New Roman"/>
          <w:color w:val="auto"/>
          <w:highlight w:val="none"/>
        </w:rPr>
      </w:pPr>
      <w:bookmarkStart w:id="12" w:name="bookmark39"/>
      <w:bookmarkEnd w:id="12"/>
    </w:p>
    <w:p>
      <w:pPr>
        <w:pStyle w:val="5"/>
        <w:keepNext w:val="0"/>
        <w:keepLines w:val="0"/>
        <w:pageBreakBefore w:val="0"/>
        <w:widowControl/>
        <w:kinsoku/>
        <w:wordWrap/>
        <w:topLinePunct w:val="0"/>
        <w:bidi w:val="0"/>
        <w:spacing w:line="248"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8"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8"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8"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8"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8"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8"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8"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8"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8"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8"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8"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8"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8" w:lineRule="auto"/>
        <w:rPr>
          <w:rFonts w:hint="default" w:ascii="Times New Roman" w:hAnsi="Times New Roman" w:cs="Times New Roman"/>
          <w:color w:val="auto"/>
          <w:highlight w:val="none"/>
        </w:rPr>
      </w:pPr>
      <w:r>
        <w:rPr>
          <w:rFonts w:hint="eastAsia" w:ascii="方正黑体_GBK" w:hAnsi="方正黑体_GBK" w:eastAsia="方正黑体_GBK" w:cs="方正黑体_GBK"/>
          <w:b/>
          <w:bCs/>
          <w:color w:val="auto"/>
          <w:spacing w:val="-1"/>
          <w:sz w:val="56"/>
          <w:szCs w:val="56"/>
          <w:highlight w:val="none"/>
        </w:rPr>
        <mc:AlternateContent>
          <mc:Choice Requires="wps">
            <w:drawing>
              <wp:anchor distT="0" distB="0" distL="0" distR="0" simplePos="0" relativeHeight="251666432" behindDoc="1" locked="0" layoutInCell="1" allowOverlap="1">
                <wp:simplePos x="0" y="0"/>
                <wp:positionH relativeFrom="column">
                  <wp:posOffset>10795</wp:posOffset>
                </wp:positionH>
                <wp:positionV relativeFrom="paragraph">
                  <wp:posOffset>5715</wp:posOffset>
                </wp:positionV>
                <wp:extent cx="7560310" cy="1800225"/>
                <wp:effectExtent l="0" t="0" r="2540" b="9525"/>
                <wp:wrapNone/>
                <wp:docPr id="8" name="Rect 8"/>
                <wp:cNvGraphicFramePr/>
                <a:graphic xmlns:a="http://schemas.openxmlformats.org/drawingml/2006/main">
                  <a:graphicData uri="http://schemas.microsoft.com/office/word/2010/wordprocessingShape">
                    <wps:wsp>
                      <wps:cNvSpPr/>
                      <wps:spPr>
                        <a:xfrm>
                          <a:off x="0" y="-40503"/>
                          <a:ext cx="7560310" cy="1800225"/>
                        </a:xfrm>
                        <a:prstGeom prst="rect">
                          <a:avLst/>
                        </a:prstGeom>
                        <a:solidFill>
                          <a:srgbClr val="92D050">
                            <a:alpha val="87450"/>
                          </a:srgbClr>
                        </a:solidFill>
                        <a:ln w="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宋体"/>
                                <w:lang w:val="en-US" w:eastAsia="zh-CN"/>
                              </w:rPr>
                            </w:pPr>
                            <w:r>
                              <w:rPr>
                                <w:rFonts w:hint="eastAsia" w:eastAsia="宋体"/>
                                <w:lang w:val="en-US" w:eastAsia="zh-CN"/>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8" o:spid="_x0000_s1026" o:spt="1" style="position:absolute;left:0pt;margin-left:0.85pt;margin-top:0.45pt;height:141.75pt;width:595.3pt;z-index:-251650048;mso-width-relative:page;mso-height-relative:page;" fillcolor="#92D050" filled="t" stroked="f" coordsize="21600,21600" o:gfxdata="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M2JwhnUAAAABwEAAA8AAAAAAAAAAQAgAAAAIgAAAGRycy9k&#10;b3ducmV2LnhtbFBLAQIUABQAAAAIAIdO4kBYg0mQPwIAAJQEAAAOAAAAAAAAAAEAIAAAACMBAABk&#10;cnMvZTJvRG9jLnhtbFBLBQYAAAAABgAGAFkBAADUBQAAAAA=&#10;">
                <v:fill on="t" opacity="57311f" focussize="0,0"/>
                <v:stroke on="f" weight="0pt"/>
                <v:imagedata o:title=""/>
                <o:lock v:ext="edit" aspectratio="f"/>
                <v:textbox inset="0mm,0mm,0mm,0mm">
                  <w:txbxContent>
                    <w:p>
                      <w:pPr>
                        <w:jc w:val="center"/>
                        <w:rPr>
                          <w:rFonts w:hint="eastAsia" w:eastAsia="宋体"/>
                          <w:lang w:val="en-US" w:eastAsia="zh-CN"/>
                        </w:rPr>
                      </w:pPr>
                      <w:r>
                        <w:rPr>
                          <w:rFonts w:hint="eastAsia" w:eastAsia="宋体"/>
                          <w:lang w:val="en-US" w:eastAsia="zh-CN"/>
                        </w:rPr>
                        <w:t>.</w:t>
                      </w:r>
                    </w:p>
                  </w:txbxContent>
                </v:textbox>
              </v:rect>
            </w:pict>
          </mc:Fallback>
        </mc:AlternateContent>
      </w:r>
      <w:r>
        <w:rPr>
          <w:rFonts w:hint="default" w:ascii="Times New Roman" w:hAnsi="Times New Roman" w:cs="Times New Roman"/>
          <w:color w:val="auto"/>
          <w:highlight w:val="none"/>
        </w:rPr>
        <w:pict>
          <v:shape id="_x0000_s1030" o:spid="_x0000_s1030" style="position:absolute;left:0pt;margin-left:4pt;margin-top:0.7pt;height:0.5pt;width:595.35pt;z-index:251667456;mso-width-relative:page;mso-height-relative:page;" filled="f" stroked="t" coordsize="11906,10" path="m11951,5l-287,5e">
            <v:fill on="f" focussize="0,0"/>
            <v:stroke weight="0.5pt" color="#000000" miterlimit="10" joinstyle="miter" endcap="round"/>
            <v:imagedata o:title=""/>
            <o:lock v:ext="edit"/>
          </v:shape>
        </w:pict>
      </w:r>
    </w:p>
    <w:p>
      <w:pPr>
        <w:pStyle w:val="5"/>
        <w:keepNext w:val="0"/>
        <w:keepLines w:val="0"/>
        <w:pageBreakBefore w:val="0"/>
        <w:widowControl/>
        <w:kinsoku/>
        <w:wordWrap/>
        <w:topLinePunct w:val="0"/>
        <w:bidi w:val="0"/>
        <w:spacing w:line="248"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8" w:lineRule="auto"/>
        <w:rPr>
          <w:rFonts w:hint="default" w:ascii="Times New Roman" w:hAnsi="Times New Roman" w:cs="Times New Roman"/>
          <w:color w:val="auto"/>
          <w:highlight w:val="none"/>
        </w:rPr>
      </w:pPr>
    </w:p>
    <w:p>
      <w:pPr>
        <w:keepNext w:val="0"/>
        <w:keepLines w:val="0"/>
        <w:pageBreakBefore w:val="0"/>
        <w:widowControl/>
        <w:kinsoku/>
        <w:wordWrap/>
        <w:topLinePunct w:val="0"/>
        <w:bidi w:val="0"/>
        <w:spacing w:before="190" w:line="232" w:lineRule="auto"/>
        <w:outlineLvl w:val="0"/>
        <w:rPr>
          <w:rFonts w:hint="eastAsia" w:ascii="方正黑体_GBK" w:hAnsi="方正黑体_GBK" w:eastAsia="方正黑体_GBK" w:cs="方正黑体_GBK"/>
          <w:color w:val="auto"/>
          <w:sz w:val="72"/>
          <w:szCs w:val="72"/>
          <w:highlight w:val="none"/>
        </w:rPr>
      </w:pPr>
      <w:bookmarkStart w:id="13" w:name="bookmark42"/>
      <w:bookmarkEnd w:id="13"/>
      <w:bookmarkStart w:id="14" w:name="_Toc1307376636"/>
      <w:r>
        <w:rPr>
          <w:rFonts w:hint="eastAsia" w:ascii="方正黑体_GBK" w:hAnsi="方正黑体_GBK" w:eastAsia="方正黑体_GBK" w:cs="方正黑体_GBK"/>
          <w:b w:val="0"/>
          <w:bCs w:val="0"/>
          <w:color w:val="auto"/>
          <w:spacing w:val="-1"/>
          <w:sz w:val="72"/>
          <w:szCs w:val="72"/>
          <w:highlight w:val="none"/>
        </w:rPr>
        <w:t>第三部分</w:t>
      </w:r>
      <w:bookmarkEnd w:id="14"/>
      <w:bookmarkStart w:id="15" w:name="_Toc1054484946"/>
      <w:r>
        <w:rPr>
          <w:rFonts w:hint="default" w:ascii="方正黑体_GBK" w:hAnsi="方正黑体_GBK" w:eastAsia="方正黑体_GBK" w:cs="方正黑体_GBK"/>
          <w:b w:val="0"/>
          <w:bCs w:val="0"/>
          <w:color w:val="auto"/>
          <w:spacing w:val="-1"/>
          <w:sz w:val="72"/>
          <w:szCs w:val="72"/>
          <w:highlight w:val="none"/>
          <w:lang w:val="en-US"/>
        </w:rPr>
        <w:pict>
          <v:shape id="_x0000_s1031" o:spid="_x0000_s1031" style="position:absolute;left:0pt;margin-left:0.25pt;margin-top:102.35pt;height:0.5pt;width:595.35pt;z-index:251668480;mso-width-relative:page;mso-height-relative:page;" filled="f" stroked="t" coordsize="11906,10" path="m-287,5l11951,5e">
            <v:fill on="f" focussize="0,0"/>
            <v:stroke weight="0.5pt" color="#000000" miterlimit="10" joinstyle="miter" endcap="round"/>
            <v:imagedata o:title=""/>
            <o:lock v:ext="edit"/>
          </v:shape>
        </w:pict>
      </w:r>
      <w:bookmarkStart w:id="16" w:name="bookmark15"/>
      <w:bookmarkEnd w:id="16"/>
      <w:r>
        <w:rPr>
          <w:rFonts w:hint="eastAsia" w:ascii="方正黑体_GBK" w:hAnsi="方正黑体_GBK" w:eastAsia="方正黑体_GBK" w:cs="方正黑体_GBK"/>
          <w:b w:val="0"/>
          <w:bCs w:val="0"/>
          <w:color w:val="auto"/>
          <w:spacing w:val="-1"/>
          <w:sz w:val="72"/>
          <w:szCs w:val="72"/>
          <w:highlight w:val="none"/>
          <w:lang w:val="en-US" w:eastAsia="zh-CN"/>
        </w:rPr>
        <w:t xml:space="preserve">  </w:t>
      </w:r>
      <w:r>
        <w:rPr>
          <w:rFonts w:hint="eastAsia" w:ascii="方正黑体_GBK" w:hAnsi="方正黑体_GBK" w:eastAsia="方正黑体_GBK" w:cs="方正黑体_GBK"/>
          <w:b w:val="0"/>
          <w:bCs w:val="0"/>
          <w:color w:val="auto"/>
          <w:spacing w:val="-1"/>
          <w:sz w:val="72"/>
          <w:szCs w:val="72"/>
          <w:highlight w:val="none"/>
        </w:rPr>
        <w:t>202</w:t>
      </w:r>
      <w:r>
        <w:rPr>
          <w:rFonts w:hint="eastAsia" w:ascii="方正黑体_GBK" w:hAnsi="方正黑体_GBK" w:eastAsia="方正黑体_GBK" w:cs="方正黑体_GBK"/>
          <w:b w:val="0"/>
          <w:bCs w:val="0"/>
          <w:color w:val="auto"/>
          <w:spacing w:val="-1"/>
          <w:sz w:val="72"/>
          <w:szCs w:val="72"/>
          <w:highlight w:val="none"/>
          <w:lang w:val="en-US" w:eastAsia="zh-CN"/>
        </w:rPr>
        <w:t>5</w:t>
      </w:r>
      <w:r>
        <w:rPr>
          <w:rFonts w:hint="eastAsia" w:ascii="方正黑体_GBK" w:hAnsi="方正黑体_GBK" w:eastAsia="方正黑体_GBK" w:cs="方正黑体_GBK"/>
          <w:b w:val="0"/>
          <w:bCs w:val="0"/>
          <w:color w:val="auto"/>
          <w:spacing w:val="-1"/>
          <w:sz w:val="72"/>
          <w:szCs w:val="72"/>
          <w:highlight w:val="none"/>
        </w:rPr>
        <w:t>年度</w:t>
      </w:r>
      <w:r>
        <w:rPr>
          <w:rFonts w:hint="eastAsia" w:ascii="方正黑体_GBK" w:hAnsi="方正黑体_GBK" w:eastAsia="方正黑体_GBK" w:cs="方正黑体_GBK"/>
          <w:b w:val="0"/>
          <w:bCs w:val="0"/>
          <w:color w:val="auto"/>
          <w:spacing w:val="-1"/>
          <w:sz w:val="72"/>
          <w:szCs w:val="72"/>
          <w:highlight w:val="none"/>
          <w:lang w:eastAsia="zh-CN"/>
        </w:rPr>
        <w:t>经费</w:t>
      </w:r>
      <w:r>
        <w:rPr>
          <w:rFonts w:hint="eastAsia" w:ascii="方正黑体_GBK" w:hAnsi="方正黑体_GBK" w:eastAsia="方正黑体_GBK" w:cs="方正黑体_GBK"/>
          <w:b w:val="0"/>
          <w:bCs w:val="0"/>
          <w:color w:val="auto"/>
          <w:spacing w:val="-1"/>
          <w:sz w:val="72"/>
          <w:szCs w:val="72"/>
          <w:highlight w:val="none"/>
        </w:rPr>
        <w:t>决算情况说明</w:t>
      </w:r>
      <w:bookmarkEnd w:id="15"/>
    </w:p>
    <w:p>
      <w:pPr>
        <w:keepNext w:val="0"/>
        <w:keepLines w:val="0"/>
        <w:pageBreakBefore w:val="0"/>
        <w:widowControl/>
        <w:kinsoku/>
        <w:wordWrap/>
        <w:topLinePunct w:val="0"/>
        <w:bidi w:val="0"/>
        <w:spacing w:line="231" w:lineRule="auto"/>
        <w:rPr>
          <w:rFonts w:hint="default" w:ascii="Times New Roman" w:hAnsi="Times New Roman" w:eastAsia="方正黑体_GBK" w:cs="Times New Roman"/>
          <w:color w:val="auto"/>
          <w:sz w:val="72"/>
          <w:szCs w:val="72"/>
          <w:highlight w:val="none"/>
        </w:rPr>
        <w:sectPr>
          <w:footerReference r:id="rId10" w:type="default"/>
          <w:pgSz w:w="11907" w:h="16839"/>
          <w:pgMar w:top="1431" w:right="0" w:bottom="943" w:left="0" w:header="0" w:footer="676" w:gutter="0"/>
          <w:pgBorders>
            <w:top w:val="none" w:sz="0" w:space="0"/>
            <w:left w:val="none" w:sz="0" w:space="0"/>
            <w:bottom w:val="none" w:sz="0" w:space="0"/>
            <w:right w:val="none" w:sz="0" w:space="0"/>
          </w:pgBorders>
          <w:pgNumType w:fmt="decimal"/>
          <w:cols w:space="720" w:num="1"/>
        </w:sectPr>
      </w:pPr>
    </w:p>
    <w:p>
      <w:pPr>
        <w:keepNext w:val="0"/>
        <w:keepLines w:val="0"/>
        <w:pageBreakBefore w:val="0"/>
        <w:widowControl/>
        <w:kinsoku/>
        <w:wordWrap/>
        <w:overflowPunct/>
        <w:topLinePunct w:val="0"/>
        <w:autoSpaceDE w:val="0"/>
        <w:autoSpaceDN w:val="0"/>
        <w:bidi w:val="0"/>
        <w:adjustRightInd w:val="0"/>
        <w:snapToGrid w:val="0"/>
        <w:spacing w:line="600" w:lineRule="exact"/>
        <w:ind w:left="8" w:firstLine="639"/>
        <w:textAlignment w:val="baseline"/>
        <w:outlineLvl w:val="0"/>
        <w:rPr>
          <w:rFonts w:hint="default" w:ascii="方正黑体_GBK" w:hAnsi="方正黑体_GBK" w:eastAsia="方正黑体_GBK" w:cs="方正黑体_GBK"/>
          <w:sz w:val="32"/>
          <w:szCs w:val="32"/>
        </w:rPr>
      </w:pPr>
      <w:bookmarkStart w:id="17" w:name="_Toc631281580"/>
      <w:r>
        <w:rPr>
          <w:rFonts w:hint="default" w:ascii="方正黑体_GBK" w:hAnsi="方正黑体_GBK" w:eastAsia="方正黑体_GBK" w:cs="方正黑体_GBK"/>
          <w:sz w:val="32"/>
          <w:szCs w:val="32"/>
        </w:rPr>
        <w:t>一、收入支出决算总体情况说明</w:t>
      </w:r>
      <w:bookmarkEnd w:id="17"/>
    </w:p>
    <w:p>
      <w:pPr>
        <w:keepNext w:val="0"/>
        <w:keepLines w:val="0"/>
        <w:pageBreakBefore w:val="0"/>
        <w:widowControl/>
        <w:kinsoku/>
        <w:wordWrap/>
        <w:overflowPunct/>
        <w:topLinePunct w:val="0"/>
        <w:autoSpaceDE w:val="0"/>
        <w:autoSpaceDN w:val="0"/>
        <w:bidi w:val="0"/>
        <w:adjustRightInd w:val="0"/>
        <w:snapToGrid w:val="0"/>
        <w:spacing w:line="550" w:lineRule="exact"/>
        <w:ind w:firstLine="632" w:firstLineChars="200"/>
        <w:textAlignment w:val="baseline"/>
        <w:rPr>
          <w:rFonts w:hint="default" w:ascii="方正仿宋_GBK" w:hAnsi="方正仿宋_GBK" w:eastAsia="方正仿宋_GBK" w:cs="方正仿宋_GBK"/>
          <w:color w:val="auto"/>
          <w:spacing w:val="3"/>
          <w:sz w:val="31"/>
          <w:szCs w:val="31"/>
          <w:lang w:eastAsia="zh-CN"/>
        </w:rPr>
      </w:pPr>
      <w:r>
        <w:rPr>
          <w:rFonts w:hint="eastAsia" w:ascii="方正仿宋_GBK" w:hAnsi="方正仿宋_GBK" w:eastAsia="方正仿宋_GBK" w:cs="方正仿宋_GBK"/>
          <w:color w:val="auto"/>
          <w:spacing w:val="3"/>
          <w:sz w:val="31"/>
          <w:szCs w:val="31"/>
          <w:lang w:val="en-US" w:eastAsia="zh-CN"/>
        </w:rPr>
        <w:t>2025年度收、支总额均为1,943.17万元。与2024年度相比，收、支总额均减少155.1万元，下降7.98%，减少的主要原因：一是2024年结转项目湖南省消防救援总队“自然灾害应急能力提升工程”消防装备建设项目较上年度减少收支；二是2024年结转项目地方财政安排综合性专项项目-新消防站配套设施采购因部分款项上年度已支付减少收支；三是地方财政保障的政府专职消防队员增加，相应增加收支。</w:t>
      </w:r>
    </w:p>
    <w:p>
      <w:pPr>
        <w:pStyle w:val="5"/>
        <w:keepNext w:val="0"/>
        <w:keepLines w:val="0"/>
        <w:pageBreakBefore w:val="0"/>
        <w:widowControl/>
        <w:kinsoku/>
        <w:wordWrap/>
        <w:overflowPunct/>
        <w:topLinePunct w:val="0"/>
        <w:autoSpaceDE w:val="0"/>
        <w:autoSpaceDN w:val="0"/>
        <w:bidi w:val="0"/>
        <w:adjustRightInd w:val="0"/>
        <w:snapToGrid w:val="0"/>
        <w:spacing w:line="640" w:lineRule="exact"/>
        <w:ind w:firstLine="632" w:firstLineChars="200"/>
        <w:textAlignment w:val="baseline"/>
        <w:rPr>
          <w:rFonts w:hint="default" w:ascii="Times New Roman" w:hAnsi="Times New Roman" w:eastAsia="仿宋" w:cs="Times New Roman"/>
          <w:color w:val="auto"/>
          <w:spacing w:val="-1"/>
          <w:sz w:val="18"/>
          <w:szCs w:val="18"/>
          <w:highlight w:val="none"/>
        </w:rPr>
        <w:sectPr>
          <w:footerReference r:id="rId11" w:type="default"/>
          <w:pgSz w:w="11907" w:h="16839"/>
          <w:pgMar w:top="2098" w:right="1531" w:bottom="1531" w:left="1531" w:header="0" w:footer="677" w:gutter="0"/>
          <w:pgBorders>
            <w:top w:val="none" w:sz="0" w:space="0"/>
            <w:left w:val="none" w:sz="0" w:space="0"/>
            <w:bottom w:val="none" w:sz="0" w:space="0"/>
            <w:right w:val="none" w:sz="0" w:space="0"/>
          </w:pgBorders>
          <w:pgNumType w:fmt="decimal"/>
          <w:cols w:space="720" w:num="1"/>
        </w:sectPr>
      </w:pPr>
      <w:bookmarkStart w:id="18" w:name="bookmark43"/>
      <w:bookmarkEnd w:id="18"/>
      <w:r>
        <w:rPr>
          <w:rFonts w:hint="eastAsia" w:ascii="方正仿宋_GBK" w:hAnsi="方正仿宋_GBK" w:eastAsia="方正仿宋_GBK" w:cs="方正仿宋_GBK"/>
          <w:color w:val="auto"/>
          <w:spacing w:val="3"/>
          <w:sz w:val="31"/>
          <w:szCs w:val="31"/>
          <w:lang w:val="en-US" w:eastAsia="zh-CN"/>
        </w:rPr>
        <w:drawing>
          <wp:anchor distT="0" distB="0" distL="114300" distR="114300" simplePos="0" relativeHeight="251680768" behindDoc="0" locked="0" layoutInCell="1" allowOverlap="1">
            <wp:simplePos x="0" y="0"/>
            <wp:positionH relativeFrom="column">
              <wp:posOffset>409575</wp:posOffset>
            </wp:positionH>
            <wp:positionV relativeFrom="page">
              <wp:posOffset>4398010</wp:posOffset>
            </wp:positionV>
            <wp:extent cx="4826000" cy="2743200"/>
            <wp:effectExtent l="4445" t="4445" r="8255" b="14605"/>
            <wp:wrapTopAndBottom/>
            <wp:docPr id="1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Pr>
          <w:rFonts w:hint="default" w:ascii="Times New Roman" w:hAnsi="Times New Roman" w:eastAsia="宋体" w:cs="Times New Roman"/>
          <w:color w:val="auto"/>
          <w:position w:val="9"/>
          <w:sz w:val="9"/>
          <w:szCs w:val="9"/>
          <w:highlight w:val="none"/>
        </w:rPr>
        <w:t>1</w:t>
      </w:r>
      <w:r>
        <w:rPr>
          <w:rFonts w:hint="default" w:ascii="Times New Roman" w:hAnsi="Times New Roman" w:eastAsia="仿宋" w:cs="Times New Roman"/>
          <w:color w:val="auto"/>
          <w:sz w:val="18"/>
          <w:szCs w:val="18"/>
          <w:highlight w:val="none"/>
        </w:rPr>
        <w:t>数据来自部门决算批复表，批复表金额单位转换时可能</w:t>
      </w:r>
      <w:r>
        <w:rPr>
          <w:rFonts w:hint="default" w:ascii="Times New Roman" w:hAnsi="Times New Roman" w:eastAsia="仿宋" w:cs="Times New Roman"/>
          <w:color w:val="auto"/>
          <w:spacing w:val="-1"/>
          <w:sz w:val="18"/>
          <w:szCs w:val="18"/>
          <w:highlight w:val="none"/>
        </w:rPr>
        <w:t>存在尾数误差，下同。</w:t>
      </w:r>
    </w:p>
    <w:p>
      <w:pPr>
        <w:keepNext w:val="0"/>
        <w:keepLines w:val="0"/>
        <w:pageBreakBefore w:val="0"/>
        <w:widowControl/>
        <w:kinsoku/>
        <w:wordWrap/>
        <w:overflowPunct/>
        <w:topLinePunct w:val="0"/>
        <w:autoSpaceDE w:val="0"/>
        <w:autoSpaceDN w:val="0"/>
        <w:bidi w:val="0"/>
        <w:adjustRightInd w:val="0"/>
        <w:snapToGrid w:val="0"/>
        <w:spacing w:line="600" w:lineRule="exact"/>
        <w:ind w:left="8" w:firstLine="639"/>
        <w:textAlignment w:val="baseline"/>
        <w:outlineLvl w:val="0"/>
        <w:rPr>
          <w:rFonts w:hint="eastAsia" w:ascii="方正黑体_GBK" w:hAnsi="方正黑体_GBK" w:eastAsia="方正黑体_GBK" w:cs="方正黑体_GBK"/>
          <w:sz w:val="32"/>
          <w:szCs w:val="32"/>
          <w:lang w:val="en-US" w:eastAsia="zh-CN"/>
        </w:rPr>
      </w:pPr>
      <w:bookmarkStart w:id="19" w:name="_Toc1943210716"/>
      <w:r>
        <w:rPr>
          <w:rFonts w:hint="eastAsia" w:ascii="方正黑体_GBK" w:hAnsi="方正黑体_GBK" w:eastAsia="方正黑体_GBK" w:cs="方正黑体_GBK"/>
          <w:sz w:val="32"/>
          <w:szCs w:val="32"/>
          <w:lang w:val="en-US" w:eastAsia="zh-CN"/>
        </w:rPr>
        <w:t>二、收入决算情况说明</w:t>
      </w:r>
      <w:bookmarkEnd w:id="19"/>
    </w:p>
    <w:p>
      <w:pPr>
        <w:keepNext w:val="0"/>
        <w:keepLines w:val="0"/>
        <w:pageBreakBefore w:val="0"/>
        <w:widowControl/>
        <w:kinsoku/>
        <w:wordWrap/>
        <w:overflowPunct w:val="0"/>
        <w:topLinePunct w:val="0"/>
        <w:autoSpaceDE w:val="0"/>
        <w:autoSpaceDN w:val="0"/>
        <w:bidi w:val="0"/>
        <w:adjustRightInd w:val="0"/>
        <w:snapToGrid w:val="0"/>
        <w:spacing w:line="550" w:lineRule="exact"/>
        <w:ind w:left="0" w:firstLine="629"/>
        <w:jc w:val="both"/>
        <w:textAlignment w:val="baseline"/>
        <w:rPr>
          <w:rFonts w:hint="default"/>
        </w:rPr>
      </w:pPr>
      <w:r>
        <w:rPr>
          <w:rFonts w:hint="default" w:ascii="方正仿宋_GBK" w:hAnsi="方正仿宋_GBK" w:eastAsia="方正仿宋_GBK" w:cs="方正仿宋_GBK"/>
          <w:snapToGrid w:val="0"/>
          <w:color w:val="auto"/>
          <w:spacing w:val="3"/>
          <w:kern w:val="0"/>
          <w:sz w:val="31"/>
          <w:szCs w:val="31"/>
          <w:lang w:val="en-US" w:eastAsia="zh-CN" w:bidi="ar-SA"/>
        </w:rPr>
        <w:t>2025年度收入合计</w:t>
      </w:r>
      <w:r>
        <w:rPr>
          <w:rFonts w:hint="eastAsia" w:ascii="方正仿宋_GBK" w:hAnsi="方正仿宋_GBK" w:eastAsia="方正仿宋_GBK" w:cs="方正仿宋_GBK"/>
          <w:snapToGrid w:val="0"/>
          <w:color w:val="auto"/>
          <w:spacing w:val="3"/>
          <w:kern w:val="0"/>
          <w:sz w:val="31"/>
          <w:szCs w:val="31"/>
          <w:lang w:val="en-US" w:eastAsia="zh-CN" w:bidi="ar-SA"/>
        </w:rPr>
        <w:t>1,447.25</w:t>
      </w:r>
      <w:r>
        <w:rPr>
          <w:rFonts w:hint="default" w:ascii="方正仿宋_GBK" w:hAnsi="方正仿宋_GBK" w:eastAsia="方正仿宋_GBK" w:cs="方正仿宋_GBK"/>
          <w:snapToGrid w:val="0"/>
          <w:color w:val="auto"/>
          <w:spacing w:val="3"/>
          <w:kern w:val="0"/>
          <w:sz w:val="31"/>
          <w:szCs w:val="31"/>
          <w:lang w:val="en-US" w:eastAsia="zh-CN" w:bidi="ar-SA"/>
        </w:rPr>
        <w:t>万元，其中：财政拨款收入</w:t>
      </w:r>
      <w:r>
        <w:rPr>
          <w:rFonts w:hint="eastAsia" w:ascii="方正仿宋_GBK" w:hAnsi="方正仿宋_GBK" w:eastAsia="方正仿宋_GBK" w:cs="方正仿宋_GBK"/>
          <w:snapToGrid w:val="0"/>
          <w:color w:val="auto"/>
          <w:spacing w:val="3"/>
          <w:kern w:val="0"/>
          <w:sz w:val="31"/>
          <w:szCs w:val="31"/>
          <w:lang w:val="en-US" w:eastAsia="zh-CN" w:bidi="ar-SA"/>
        </w:rPr>
        <w:t>67.51</w:t>
      </w:r>
      <w:r>
        <w:rPr>
          <w:rFonts w:hint="default" w:ascii="方正仿宋_GBK" w:hAnsi="方正仿宋_GBK" w:eastAsia="方正仿宋_GBK" w:cs="方正仿宋_GBK"/>
          <w:snapToGrid w:val="0"/>
          <w:color w:val="auto"/>
          <w:spacing w:val="3"/>
          <w:kern w:val="0"/>
          <w:sz w:val="31"/>
          <w:szCs w:val="31"/>
          <w:lang w:val="en-US" w:eastAsia="zh-CN" w:bidi="ar-SA"/>
        </w:rPr>
        <w:t>万元，占</w:t>
      </w:r>
      <w:r>
        <w:rPr>
          <w:rFonts w:hint="eastAsia" w:ascii="方正仿宋_GBK" w:hAnsi="方正仿宋_GBK" w:eastAsia="方正仿宋_GBK" w:cs="方正仿宋_GBK"/>
          <w:snapToGrid w:val="0"/>
          <w:color w:val="auto"/>
          <w:spacing w:val="3"/>
          <w:kern w:val="0"/>
          <w:sz w:val="31"/>
          <w:szCs w:val="31"/>
          <w:lang w:val="en-US" w:eastAsia="zh-CN" w:bidi="ar-SA"/>
        </w:rPr>
        <w:t>4.66</w:t>
      </w:r>
      <w:r>
        <w:rPr>
          <w:rFonts w:hint="default" w:ascii="方正仿宋_GBK" w:hAnsi="方正仿宋_GBK" w:eastAsia="方正仿宋_GBK" w:cs="方正仿宋_GBK"/>
          <w:snapToGrid w:val="0"/>
          <w:color w:val="auto"/>
          <w:spacing w:val="3"/>
          <w:kern w:val="0"/>
          <w:sz w:val="31"/>
          <w:szCs w:val="31"/>
          <w:lang w:val="en-US" w:eastAsia="zh-CN" w:bidi="ar-SA"/>
        </w:rPr>
        <w:t>%；其他收入</w:t>
      </w:r>
      <w:r>
        <w:rPr>
          <w:rFonts w:hint="eastAsia" w:ascii="方正仿宋_GBK" w:hAnsi="方正仿宋_GBK" w:eastAsia="方正仿宋_GBK" w:cs="方正仿宋_GBK"/>
          <w:snapToGrid w:val="0"/>
          <w:color w:val="auto"/>
          <w:spacing w:val="3"/>
          <w:kern w:val="0"/>
          <w:sz w:val="31"/>
          <w:szCs w:val="31"/>
          <w:lang w:val="en-US" w:eastAsia="zh-CN" w:bidi="ar-SA"/>
        </w:rPr>
        <w:t>1,379.74</w:t>
      </w:r>
      <w:r>
        <w:rPr>
          <w:rFonts w:hint="default" w:ascii="方正仿宋_GBK" w:hAnsi="方正仿宋_GBK" w:eastAsia="方正仿宋_GBK" w:cs="方正仿宋_GBK"/>
          <w:snapToGrid w:val="0"/>
          <w:color w:val="auto"/>
          <w:spacing w:val="3"/>
          <w:kern w:val="0"/>
          <w:sz w:val="31"/>
          <w:szCs w:val="31"/>
          <w:lang w:val="en-US" w:eastAsia="zh-CN" w:bidi="ar-SA"/>
        </w:rPr>
        <w:t>万元，占</w:t>
      </w:r>
      <w:r>
        <w:rPr>
          <w:rFonts w:hint="eastAsia" w:ascii="方正仿宋_GBK" w:hAnsi="方正仿宋_GBK" w:eastAsia="方正仿宋_GBK" w:cs="方正仿宋_GBK"/>
          <w:snapToGrid w:val="0"/>
          <w:color w:val="auto"/>
          <w:spacing w:val="3"/>
          <w:kern w:val="0"/>
          <w:sz w:val="31"/>
          <w:szCs w:val="31"/>
          <w:lang w:val="en-US" w:eastAsia="zh-CN" w:bidi="ar-SA"/>
        </w:rPr>
        <w:t>95.34</w:t>
      </w:r>
      <w:r>
        <w:rPr>
          <w:rFonts w:hint="default" w:ascii="方正仿宋_GBK" w:hAnsi="方正仿宋_GBK" w:eastAsia="方正仿宋_GBK" w:cs="方正仿宋_GBK"/>
          <w:snapToGrid w:val="0"/>
          <w:color w:val="auto"/>
          <w:spacing w:val="3"/>
          <w:kern w:val="0"/>
          <w:sz w:val="31"/>
          <w:szCs w:val="31"/>
          <w:lang w:val="en-US" w:eastAsia="zh-CN" w:bidi="ar-SA"/>
        </w:rPr>
        <w:t>%。</w:t>
      </w:r>
    </w:p>
    <w:p>
      <w:pPr>
        <w:keepNext w:val="0"/>
        <w:keepLines w:val="0"/>
        <w:pageBreakBefore w:val="0"/>
        <w:widowControl/>
        <w:kinsoku/>
        <w:wordWrap/>
        <w:overflowPunct/>
        <w:topLinePunct w:val="0"/>
        <w:autoSpaceDE w:val="0"/>
        <w:autoSpaceDN w:val="0"/>
        <w:bidi w:val="0"/>
        <w:adjustRightInd w:val="0"/>
        <w:snapToGrid w:val="0"/>
        <w:spacing w:line="550" w:lineRule="exact"/>
        <w:ind w:left="8" w:firstLine="639"/>
        <w:textAlignment w:val="baseline"/>
        <w:outlineLvl w:val="0"/>
        <w:rPr>
          <w:rFonts w:hint="default" w:ascii="方正黑体_GBK" w:hAnsi="方正黑体_GBK" w:eastAsia="方正黑体_GBK" w:cs="方正黑体_GBK"/>
          <w:sz w:val="32"/>
          <w:szCs w:val="32"/>
          <w:lang w:val="en-US" w:eastAsia="zh-CN"/>
        </w:rPr>
      </w:pPr>
      <w:bookmarkStart w:id="20" w:name="_Toc293"/>
      <w:r>
        <w:rPr>
          <w:rFonts w:hint="eastAsia" w:ascii="方正黑体_GBK" w:hAnsi="方正黑体_GBK" w:eastAsia="方正黑体_GBK" w:cs="方正黑体_GBK"/>
          <w:sz w:val="32"/>
          <w:szCs w:val="32"/>
          <w:lang w:val="en-US" w:eastAsia="zh-CN"/>
        </w:rPr>
        <w:drawing>
          <wp:anchor distT="0" distB="0" distL="114300" distR="114300" simplePos="0" relativeHeight="251677696" behindDoc="0" locked="0" layoutInCell="1" allowOverlap="1">
            <wp:simplePos x="0" y="0"/>
            <wp:positionH relativeFrom="column">
              <wp:posOffset>271145</wp:posOffset>
            </wp:positionH>
            <wp:positionV relativeFrom="page">
              <wp:posOffset>2566035</wp:posOffset>
            </wp:positionV>
            <wp:extent cx="4826000" cy="2743200"/>
            <wp:effectExtent l="4445" t="4445" r="8255" b="14605"/>
            <wp:wrapTopAndBottom/>
            <wp:docPr id="1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Pr>
          <w:rFonts w:hint="default" w:ascii="方正黑体_GBK" w:hAnsi="方正黑体_GBK" w:eastAsia="方正黑体_GBK" w:cs="方正黑体_GBK"/>
          <w:sz w:val="32"/>
          <w:szCs w:val="32"/>
          <w:lang w:val="en-US" w:eastAsia="zh-CN"/>
        </w:rPr>
        <w:t>三、支出决算情况说明</w:t>
      </w:r>
      <w:bookmarkEnd w:id="20"/>
    </w:p>
    <w:p>
      <w:pPr>
        <w:keepNext w:val="0"/>
        <w:keepLines w:val="0"/>
        <w:pageBreakBefore w:val="0"/>
        <w:widowControl/>
        <w:kinsoku/>
        <w:wordWrap/>
        <w:overflowPunct/>
        <w:topLinePunct w:val="0"/>
        <w:autoSpaceDE w:val="0"/>
        <w:autoSpaceDN w:val="0"/>
        <w:bidi w:val="0"/>
        <w:adjustRightInd w:val="0"/>
        <w:snapToGrid w:val="0"/>
        <w:spacing w:line="550" w:lineRule="exact"/>
        <w:ind w:firstLine="632" w:firstLineChars="200"/>
        <w:textAlignment w:val="baseline"/>
        <w:rPr>
          <w:rFonts w:hint="default" w:ascii="方正仿宋_GBK" w:hAnsi="方正仿宋_GBK" w:eastAsia="方正仿宋_GBK" w:cs="方正仿宋_GBK"/>
          <w:snapToGrid w:val="0"/>
          <w:color w:val="auto"/>
          <w:spacing w:val="3"/>
          <w:kern w:val="0"/>
          <w:sz w:val="31"/>
          <w:szCs w:val="31"/>
          <w:lang w:val="en-US" w:eastAsia="zh-CN" w:bidi="ar-SA"/>
        </w:rPr>
      </w:pPr>
      <w:r>
        <w:rPr>
          <w:rFonts w:hint="default" w:ascii="方正仿宋_GBK" w:hAnsi="方正仿宋_GBK" w:eastAsia="方正仿宋_GBK" w:cs="方正仿宋_GBK"/>
          <w:snapToGrid w:val="0"/>
          <w:color w:val="auto"/>
          <w:spacing w:val="3"/>
          <w:kern w:val="0"/>
          <w:sz w:val="31"/>
          <w:szCs w:val="31"/>
          <w:lang w:val="en-US" w:eastAsia="zh-CN" w:bidi="ar-SA"/>
        </w:rPr>
        <w:t>2025年度支出合计</w:t>
      </w:r>
      <w:r>
        <w:rPr>
          <w:rFonts w:hint="eastAsia" w:ascii="方正仿宋_GBK" w:hAnsi="方正仿宋_GBK" w:eastAsia="方正仿宋_GBK" w:cs="方正仿宋_GBK"/>
          <w:snapToGrid w:val="0"/>
          <w:color w:val="auto"/>
          <w:spacing w:val="3"/>
          <w:kern w:val="0"/>
          <w:sz w:val="31"/>
          <w:szCs w:val="31"/>
          <w:lang w:val="en-US" w:eastAsia="zh-CN" w:bidi="ar-SA"/>
        </w:rPr>
        <w:t>1,395.79</w:t>
      </w:r>
      <w:r>
        <w:rPr>
          <w:rFonts w:hint="default" w:ascii="方正仿宋_GBK" w:hAnsi="方正仿宋_GBK" w:eastAsia="方正仿宋_GBK" w:cs="方正仿宋_GBK"/>
          <w:snapToGrid w:val="0"/>
          <w:color w:val="auto"/>
          <w:spacing w:val="3"/>
          <w:kern w:val="0"/>
          <w:sz w:val="31"/>
          <w:szCs w:val="31"/>
          <w:lang w:val="en-US" w:eastAsia="zh-CN" w:bidi="ar-SA"/>
        </w:rPr>
        <w:t>万元，其中：基本支出</w:t>
      </w:r>
      <w:r>
        <w:rPr>
          <w:rFonts w:hint="eastAsia" w:ascii="方正仿宋_GBK" w:hAnsi="方正仿宋_GBK" w:eastAsia="方正仿宋_GBK" w:cs="方正仿宋_GBK"/>
          <w:snapToGrid w:val="0"/>
          <w:color w:val="auto"/>
          <w:spacing w:val="3"/>
          <w:kern w:val="0"/>
          <w:sz w:val="31"/>
          <w:szCs w:val="31"/>
          <w:lang w:val="en-US" w:eastAsia="zh-CN" w:bidi="ar-SA"/>
        </w:rPr>
        <w:t>593.98</w:t>
      </w:r>
      <w:r>
        <w:rPr>
          <w:rFonts w:hint="default" w:ascii="方正仿宋_GBK" w:hAnsi="方正仿宋_GBK" w:eastAsia="方正仿宋_GBK" w:cs="方正仿宋_GBK"/>
          <w:snapToGrid w:val="0"/>
          <w:color w:val="auto"/>
          <w:spacing w:val="3"/>
          <w:kern w:val="0"/>
          <w:sz w:val="31"/>
          <w:szCs w:val="31"/>
          <w:lang w:val="en-US" w:eastAsia="zh-CN" w:bidi="ar-SA"/>
        </w:rPr>
        <w:t>万元，占</w:t>
      </w:r>
      <w:r>
        <w:rPr>
          <w:rFonts w:hint="eastAsia" w:ascii="方正仿宋_GBK" w:hAnsi="方正仿宋_GBK" w:eastAsia="方正仿宋_GBK" w:cs="方正仿宋_GBK"/>
          <w:snapToGrid w:val="0"/>
          <w:color w:val="auto"/>
          <w:spacing w:val="3"/>
          <w:kern w:val="0"/>
          <w:sz w:val="31"/>
          <w:szCs w:val="31"/>
          <w:lang w:val="en-US" w:eastAsia="zh-CN" w:bidi="ar-SA"/>
        </w:rPr>
        <w:t>42.56</w:t>
      </w:r>
      <w:r>
        <w:rPr>
          <w:rFonts w:hint="default" w:ascii="方正仿宋_GBK" w:hAnsi="方正仿宋_GBK" w:eastAsia="方正仿宋_GBK" w:cs="方正仿宋_GBK"/>
          <w:snapToGrid w:val="0"/>
          <w:color w:val="auto"/>
          <w:spacing w:val="3"/>
          <w:kern w:val="0"/>
          <w:sz w:val="31"/>
          <w:szCs w:val="31"/>
          <w:lang w:val="en-US" w:eastAsia="zh-CN" w:bidi="ar-SA"/>
        </w:rPr>
        <w:t>%；项目支出</w:t>
      </w:r>
      <w:r>
        <w:rPr>
          <w:rFonts w:hint="eastAsia" w:ascii="方正仿宋_GBK" w:hAnsi="方正仿宋_GBK" w:eastAsia="方正仿宋_GBK" w:cs="方正仿宋_GBK"/>
          <w:snapToGrid w:val="0"/>
          <w:color w:val="auto"/>
          <w:spacing w:val="3"/>
          <w:kern w:val="0"/>
          <w:sz w:val="31"/>
          <w:szCs w:val="31"/>
          <w:lang w:val="en-US" w:eastAsia="zh-CN" w:bidi="ar-SA"/>
        </w:rPr>
        <w:t>801.81</w:t>
      </w:r>
      <w:r>
        <w:rPr>
          <w:rFonts w:hint="default" w:ascii="方正仿宋_GBK" w:hAnsi="方正仿宋_GBK" w:eastAsia="方正仿宋_GBK" w:cs="方正仿宋_GBK"/>
          <w:snapToGrid w:val="0"/>
          <w:color w:val="auto"/>
          <w:spacing w:val="3"/>
          <w:kern w:val="0"/>
          <w:sz w:val="31"/>
          <w:szCs w:val="31"/>
          <w:lang w:val="en-US" w:eastAsia="zh-CN" w:bidi="ar-SA"/>
        </w:rPr>
        <w:t>万元，占</w:t>
      </w:r>
      <w:r>
        <w:rPr>
          <w:rFonts w:hint="eastAsia" w:ascii="方正仿宋_GBK" w:hAnsi="方正仿宋_GBK" w:eastAsia="方正仿宋_GBK" w:cs="方正仿宋_GBK"/>
          <w:snapToGrid w:val="0"/>
          <w:color w:val="auto"/>
          <w:spacing w:val="3"/>
          <w:kern w:val="0"/>
          <w:sz w:val="31"/>
          <w:szCs w:val="31"/>
          <w:lang w:val="en-US" w:eastAsia="zh-CN" w:bidi="ar-SA"/>
        </w:rPr>
        <w:t>57.44</w:t>
      </w:r>
      <w:r>
        <w:rPr>
          <w:rFonts w:hint="default" w:ascii="方正仿宋_GBK" w:hAnsi="方正仿宋_GBK" w:eastAsia="方正仿宋_GBK" w:cs="方正仿宋_GBK"/>
          <w:snapToGrid w:val="0"/>
          <w:color w:val="auto"/>
          <w:spacing w:val="3"/>
          <w:kern w:val="0"/>
          <w:sz w:val="31"/>
          <w:szCs w:val="31"/>
          <w:lang w:val="en-US" w:eastAsia="zh-CN" w:bidi="ar-SA"/>
        </w:rPr>
        <w:t>%。</w:t>
      </w:r>
    </w:p>
    <w:p>
      <w:pPr>
        <w:keepNext w:val="0"/>
        <w:keepLines w:val="0"/>
        <w:pageBreakBefore w:val="0"/>
        <w:widowControl/>
        <w:kinsoku/>
        <w:wordWrap/>
        <w:topLinePunct w:val="0"/>
        <w:bidi w:val="0"/>
        <w:spacing w:before="120" w:line="283" w:lineRule="auto"/>
        <w:ind w:firstLine="634"/>
        <w:jc w:val="both"/>
        <w:rPr>
          <w:rFonts w:hint="default" w:ascii="Times New Roman" w:hAnsi="Times New Roman" w:eastAsia="方正仿宋_GBK" w:cs="Times New Roman"/>
          <w:color w:val="auto"/>
          <w:spacing w:val="2"/>
          <w:sz w:val="31"/>
          <w:szCs w:val="31"/>
          <w:highlight w:val="none"/>
        </w:rPr>
      </w:pPr>
      <w:r>
        <w:drawing>
          <wp:anchor distT="0" distB="0" distL="114300" distR="114300" simplePos="0" relativeHeight="251681792" behindDoc="0" locked="0" layoutInCell="1" allowOverlap="1">
            <wp:simplePos x="0" y="0"/>
            <wp:positionH relativeFrom="column">
              <wp:posOffset>407035</wp:posOffset>
            </wp:positionH>
            <wp:positionV relativeFrom="page">
              <wp:posOffset>6510020</wp:posOffset>
            </wp:positionV>
            <wp:extent cx="4883150" cy="2879090"/>
            <wp:effectExtent l="4445" t="4445" r="8255" b="12065"/>
            <wp:wrapTopAndBottom/>
            <wp:docPr id="1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pPr>
        <w:keepNext w:val="0"/>
        <w:keepLines w:val="0"/>
        <w:pageBreakBefore w:val="0"/>
        <w:widowControl/>
        <w:numPr>
          <w:ilvl w:val="0"/>
          <w:numId w:val="0"/>
        </w:numPr>
        <w:kinsoku/>
        <w:wordWrap/>
        <w:overflowPunct/>
        <w:topLinePunct w:val="0"/>
        <w:autoSpaceDE w:val="0"/>
        <w:autoSpaceDN w:val="0"/>
        <w:bidi w:val="0"/>
        <w:adjustRightInd w:val="0"/>
        <w:snapToGrid w:val="0"/>
        <w:spacing w:line="550" w:lineRule="exact"/>
        <w:ind w:leftChars="200" w:firstLine="334" w:firstLineChars="100"/>
        <w:jc w:val="both"/>
        <w:textAlignment w:val="baseline"/>
        <w:outlineLvl w:val="0"/>
        <w:rPr>
          <w:rFonts w:hint="default" w:ascii="Times New Roman" w:hAnsi="Times New Roman" w:eastAsia="方正黑体_GBK" w:cs="Times New Roman"/>
          <w:color w:val="auto"/>
          <w:spacing w:val="7"/>
          <w:sz w:val="32"/>
          <w:szCs w:val="32"/>
          <w:highlight w:val="none"/>
        </w:rPr>
      </w:pPr>
      <w:bookmarkStart w:id="21" w:name="_Toc990742335"/>
      <w:r>
        <w:rPr>
          <w:rFonts w:hint="eastAsia" w:ascii="Times New Roman" w:hAnsi="Times New Roman" w:eastAsia="方正黑体_GBK" w:cs="Times New Roman"/>
          <w:color w:val="auto"/>
          <w:spacing w:val="7"/>
          <w:sz w:val="32"/>
          <w:szCs w:val="32"/>
          <w:highlight w:val="none"/>
          <w:lang w:eastAsia="zh-CN"/>
        </w:rPr>
        <w:t>四、</w:t>
      </w:r>
      <w:r>
        <w:rPr>
          <w:rFonts w:hint="default" w:ascii="Times New Roman" w:hAnsi="Times New Roman" w:eastAsia="方正黑体_GBK" w:cs="Times New Roman"/>
          <w:color w:val="auto"/>
          <w:spacing w:val="7"/>
          <w:sz w:val="32"/>
          <w:szCs w:val="32"/>
          <w:highlight w:val="none"/>
        </w:rPr>
        <w:t>财政拨款收入支出决算总体情况说明</w:t>
      </w:r>
      <w:bookmarkEnd w:id="21"/>
    </w:p>
    <w:p>
      <w:pPr>
        <w:keepNext w:val="0"/>
        <w:keepLines w:val="0"/>
        <w:pageBreakBefore w:val="0"/>
        <w:widowControl/>
        <w:kinsoku/>
        <w:wordWrap/>
        <w:overflowPunct w:val="0"/>
        <w:topLinePunct w:val="0"/>
        <w:autoSpaceDE w:val="0"/>
        <w:autoSpaceDN w:val="0"/>
        <w:bidi w:val="0"/>
        <w:adjustRightInd w:val="0"/>
        <w:snapToGrid w:val="0"/>
        <w:spacing w:line="550" w:lineRule="exact"/>
        <w:ind w:left="0" w:firstLine="629"/>
        <w:jc w:val="both"/>
        <w:textAlignment w:val="baseline"/>
        <w:rPr>
          <w:rFonts w:hint="default" w:ascii="方正仿宋_GBK" w:hAnsi="方正仿宋_GBK" w:eastAsia="方正仿宋_GBK" w:cs="方正仿宋_GBK"/>
          <w:snapToGrid w:val="0"/>
          <w:color w:val="auto"/>
          <w:spacing w:val="3"/>
          <w:kern w:val="0"/>
          <w:sz w:val="31"/>
          <w:szCs w:val="31"/>
          <w:lang w:val="en-US" w:eastAsia="zh-CN" w:bidi="ar-SA"/>
        </w:rPr>
      </w:pPr>
      <w:r>
        <w:rPr>
          <w:rFonts w:hint="default" w:ascii="方正仿宋_GBK" w:hAnsi="方正仿宋_GBK" w:eastAsia="方正仿宋_GBK" w:cs="方正仿宋_GBK"/>
          <w:snapToGrid w:val="0"/>
          <w:color w:val="auto"/>
          <w:spacing w:val="3"/>
          <w:kern w:val="0"/>
          <w:sz w:val="31"/>
          <w:szCs w:val="31"/>
          <w:lang w:val="en-US" w:eastAsia="zh-CN" w:bidi="ar-SA"/>
        </w:rPr>
        <w:t>2025</w:t>
      </w:r>
      <w:r>
        <w:rPr>
          <w:rFonts w:hint="eastAsia" w:ascii="方正仿宋_GBK" w:hAnsi="方正仿宋_GBK" w:eastAsia="方正仿宋_GBK" w:cs="方正仿宋_GBK"/>
          <w:snapToGrid w:val="0"/>
          <w:color w:val="auto"/>
          <w:spacing w:val="3"/>
          <w:kern w:val="0"/>
          <w:sz w:val="31"/>
          <w:szCs w:val="31"/>
          <w:lang w:val="en-US" w:eastAsia="zh-CN" w:bidi="ar-SA"/>
        </w:rPr>
        <w:t>年</w:t>
      </w:r>
      <w:r>
        <w:rPr>
          <w:rFonts w:hint="default" w:ascii="方正仿宋_GBK" w:hAnsi="方正仿宋_GBK" w:eastAsia="方正仿宋_GBK" w:cs="方正仿宋_GBK"/>
          <w:snapToGrid w:val="0"/>
          <w:color w:val="auto"/>
          <w:spacing w:val="3"/>
          <w:kern w:val="0"/>
          <w:sz w:val="31"/>
          <w:szCs w:val="31"/>
          <w:lang w:val="en-US" w:eastAsia="zh-CN" w:bidi="ar-SA"/>
        </w:rPr>
        <w:t>度财政拨款收、支</w:t>
      </w:r>
      <w:r>
        <w:rPr>
          <w:rFonts w:hint="eastAsia" w:ascii="方正仿宋_GBK" w:hAnsi="方正仿宋_GBK" w:eastAsia="方正仿宋_GBK" w:cs="方正仿宋_GBK"/>
          <w:snapToGrid w:val="0"/>
          <w:color w:val="auto"/>
          <w:spacing w:val="3"/>
          <w:kern w:val="0"/>
          <w:sz w:val="31"/>
          <w:szCs w:val="31"/>
          <w:lang w:val="en-US" w:eastAsia="zh-CN" w:bidi="ar-SA"/>
        </w:rPr>
        <w:t>总额均</w:t>
      </w:r>
      <w:r>
        <w:rPr>
          <w:rFonts w:hint="default" w:ascii="方正仿宋_GBK" w:hAnsi="方正仿宋_GBK" w:eastAsia="方正仿宋_GBK" w:cs="方正仿宋_GBK"/>
          <w:snapToGrid w:val="0"/>
          <w:color w:val="auto"/>
          <w:spacing w:val="3"/>
          <w:kern w:val="0"/>
          <w:sz w:val="31"/>
          <w:szCs w:val="31"/>
          <w:lang w:val="en-US" w:eastAsia="zh-CN" w:bidi="ar-SA"/>
        </w:rPr>
        <w:t>为</w:t>
      </w:r>
      <w:r>
        <w:rPr>
          <w:rFonts w:hint="eastAsia" w:ascii="方正仿宋_GBK" w:hAnsi="方正仿宋_GBK" w:eastAsia="方正仿宋_GBK" w:cs="方正仿宋_GBK"/>
          <w:snapToGrid w:val="0"/>
          <w:color w:val="auto"/>
          <w:spacing w:val="3"/>
          <w:kern w:val="0"/>
          <w:sz w:val="31"/>
          <w:szCs w:val="31"/>
          <w:lang w:val="en-US" w:eastAsia="zh-CN" w:bidi="ar-SA"/>
        </w:rPr>
        <w:t>83.24</w:t>
      </w:r>
      <w:r>
        <w:rPr>
          <w:rFonts w:hint="default" w:ascii="方正仿宋_GBK" w:hAnsi="方正仿宋_GBK" w:eastAsia="方正仿宋_GBK" w:cs="方正仿宋_GBK"/>
          <w:snapToGrid w:val="0"/>
          <w:color w:val="auto"/>
          <w:spacing w:val="3"/>
          <w:kern w:val="0"/>
          <w:sz w:val="31"/>
          <w:szCs w:val="31"/>
          <w:lang w:val="en-US" w:eastAsia="zh-CN" w:bidi="ar-SA"/>
        </w:rPr>
        <w:t>万元，与2024年度相比，财政拨款收、支</w:t>
      </w:r>
      <w:r>
        <w:rPr>
          <w:rFonts w:hint="eastAsia" w:ascii="方正仿宋_GBK" w:hAnsi="方正仿宋_GBK" w:eastAsia="方正仿宋_GBK" w:cs="方正仿宋_GBK"/>
          <w:snapToGrid w:val="0"/>
          <w:color w:val="auto"/>
          <w:spacing w:val="3"/>
          <w:kern w:val="0"/>
          <w:sz w:val="31"/>
          <w:szCs w:val="31"/>
          <w:lang w:val="en-US" w:eastAsia="zh-CN" w:bidi="ar-SA"/>
        </w:rPr>
        <w:t>总额均增加9.55</w:t>
      </w:r>
      <w:r>
        <w:rPr>
          <w:rFonts w:hint="default" w:ascii="方正仿宋_GBK" w:hAnsi="方正仿宋_GBK" w:eastAsia="方正仿宋_GBK" w:cs="方正仿宋_GBK"/>
          <w:snapToGrid w:val="0"/>
          <w:color w:val="auto"/>
          <w:spacing w:val="3"/>
          <w:kern w:val="0"/>
          <w:sz w:val="31"/>
          <w:szCs w:val="31"/>
          <w:lang w:val="en-US" w:eastAsia="zh-CN" w:bidi="ar-SA"/>
        </w:rPr>
        <w:t>万元，</w:t>
      </w:r>
      <w:r>
        <w:rPr>
          <w:rFonts w:hint="eastAsia" w:ascii="方正仿宋_GBK" w:hAnsi="方正仿宋_GBK" w:eastAsia="方正仿宋_GBK" w:cs="方正仿宋_GBK"/>
          <w:snapToGrid w:val="0"/>
          <w:color w:val="auto"/>
          <w:spacing w:val="3"/>
          <w:kern w:val="0"/>
          <w:sz w:val="31"/>
          <w:szCs w:val="31"/>
          <w:lang w:val="en-US" w:eastAsia="zh-CN" w:bidi="ar-SA"/>
        </w:rPr>
        <w:t>增加11.47</w:t>
      </w:r>
      <w:r>
        <w:rPr>
          <w:rFonts w:hint="default" w:ascii="方正仿宋_GBK" w:hAnsi="方正仿宋_GBK" w:eastAsia="方正仿宋_GBK" w:cs="方正仿宋_GBK"/>
          <w:snapToGrid w:val="0"/>
          <w:color w:val="auto"/>
          <w:spacing w:val="3"/>
          <w:kern w:val="0"/>
          <w:sz w:val="31"/>
          <w:szCs w:val="31"/>
          <w:lang w:val="en-US" w:eastAsia="zh-CN" w:bidi="ar-SA"/>
        </w:rPr>
        <w:t>%，</w:t>
      </w:r>
      <w:r>
        <w:rPr>
          <w:rFonts w:hint="eastAsia" w:ascii="方正仿宋_GBK" w:hAnsi="方正仿宋_GBK" w:eastAsia="方正仿宋_GBK" w:cs="方正仿宋_GBK"/>
          <w:snapToGrid w:val="0"/>
          <w:color w:val="auto"/>
          <w:spacing w:val="3"/>
          <w:kern w:val="0"/>
          <w:sz w:val="31"/>
          <w:szCs w:val="31"/>
          <w:lang w:val="en-US" w:eastAsia="zh-CN" w:bidi="ar-SA"/>
        </w:rPr>
        <w:t>增加</w:t>
      </w:r>
      <w:r>
        <w:rPr>
          <w:rFonts w:hint="default" w:ascii="方正仿宋_GBK" w:hAnsi="方正仿宋_GBK" w:eastAsia="方正仿宋_GBK" w:cs="方正仿宋_GBK"/>
          <w:snapToGrid w:val="0"/>
          <w:color w:val="auto"/>
          <w:spacing w:val="3"/>
          <w:kern w:val="0"/>
          <w:sz w:val="31"/>
          <w:szCs w:val="31"/>
          <w:lang w:val="en-US" w:eastAsia="zh-CN" w:bidi="ar-SA"/>
        </w:rPr>
        <w:t>的主要原因</w:t>
      </w:r>
      <w:r>
        <w:rPr>
          <w:rFonts w:hint="eastAsia" w:ascii="方正仿宋_GBK" w:hAnsi="方正仿宋_GBK" w:eastAsia="方正仿宋_GBK" w:cs="方正仿宋_GBK"/>
          <w:snapToGrid w:val="0"/>
          <w:color w:val="auto"/>
          <w:spacing w:val="3"/>
          <w:kern w:val="0"/>
          <w:sz w:val="31"/>
          <w:szCs w:val="31"/>
          <w:lang w:val="en-US" w:eastAsia="zh-CN" w:bidi="ar-SA"/>
        </w:rPr>
        <w:t>是</w:t>
      </w:r>
      <w:r>
        <w:rPr>
          <w:rFonts w:hint="default" w:ascii="方正仿宋_GBK" w:hAnsi="方正仿宋_GBK" w:eastAsia="方正仿宋_GBK" w:cs="方正仿宋_GBK"/>
          <w:snapToGrid w:val="0"/>
          <w:color w:val="auto"/>
          <w:spacing w:val="3"/>
          <w:kern w:val="0"/>
          <w:sz w:val="31"/>
          <w:szCs w:val="31"/>
          <w:lang w:val="en-US" w:eastAsia="zh-CN" w:bidi="ar-SA"/>
        </w:rPr>
        <w:t>我单位</w:t>
      </w:r>
      <w:r>
        <w:rPr>
          <w:rFonts w:hint="eastAsia" w:ascii="方正仿宋_GBK" w:hAnsi="方正仿宋_GBK" w:eastAsia="方正仿宋_GBK" w:cs="方正仿宋_GBK"/>
          <w:snapToGrid w:val="0"/>
          <w:color w:val="auto"/>
          <w:spacing w:val="3"/>
          <w:kern w:val="0"/>
          <w:sz w:val="31"/>
          <w:szCs w:val="31"/>
          <w:lang w:val="en-US" w:eastAsia="zh-CN" w:bidi="ar-SA"/>
        </w:rPr>
        <w:t>结转</w:t>
      </w:r>
      <w:r>
        <w:rPr>
          <w:rFonts w:hint="default" w:ascii="方正仿宋_GBK" w:hAnsi="方正仿宋_GBK" w:eastAsia="方正仿宋_GBK" w:cs="方正仿宋_GBK"/>
          <w:snapToGrid w:val="0"/>
          <w:color w:val="auto"/>
          <w:spacing w:val="3"/>
          <w:kern w:val="0"/>
          <w:sz w:val="31"/>
          <w:szCs w:val="31"/>
          <w:lang w:val="en-US" w:eastAsia="zh-CN" w:bidi="ar-SA"/>
        </w:rPr>
        <w:t>2024年</w:t>
      </w:r>
      <w:r>
        <w:rPr>
          <w:rFonts w:hint="eastAsia" w:ascii="方正仿宋_GBK" w:hAnsi="方正仿宋_GBK" w:eastAsia="方正仿宋_GBK" w:cs="方正仿宋_GBK"/>
          <w:snapToGrid w:val="0"/>
          <w:color w:val="auto"/>
          <w:spacing w:val="3"/>
          <w:kern w:val="0"/>
          <w:sz w:val="31"/>
          <w:szCs w:val="31"/>
          <w:lang w:val="en-US" w:eastAsia="zh-CN" w:bidi="ar-SA"/>
        </w:rPr>
        <w:t>底到位中央追加资兴灾情补助资金，相应增加收支。</w:t>
      </w:r>
    </w:p>
    <w:p>
      <w:pPr>
        <w:keepNext w:val="0"/>
        <w:keepLines w:val="0"/>
        <w:pageBreakBefore w:val="0"/>
        <w:widowControl/>
        <w:kinsoku/>
        <w:wordWrap/>
        <w:overflowPunct/>
        <w:topLinePunct w:val="0"/>
        <w:autoSpaceDE w:val="0"/>
        <w:autoSpaceDN w:val="0"/>
        <w:bidi w:val="0"/>
        <w:adjustRightInd w:val="0"/>
        <w:snapToGrid w:val="0"/>
        <w:spacing w:before="113" w:line="550" w:lineRule="exact"/>
        <w:ind w:firstLine="420" w:firstLineChars="200"/>
        <w:textAlignment w:val="baseline"/>
        <w:outlineLvl w:val="0"/>
        <w:rPr>
          <w:rFonts w:hint="default" w:ascii="Times New Roman" w:hAnsi="Times New Roman" w:eastAsia="方正黑体_GBK" w:cs="Times New Roman"/>
          <w:color w:val="auto"/>
          <w:sz w:val="32"/>
          <w:szCs w:val="32"/>
          <w:highlight w:val="none"/>
        </w:rPr>
      </w:pPr>
      <w:bookmarkStart w:id="22" w:name="_Toc1175641081"/>
      <w:r>
        <w:drawing>
          <wp:anchor distT="0" distB="0" distL="114300" distR="114300" simplePos="0" relativeHeight="251678720" behindDoc="0" locked="0" layoutInCell="1" allowOverlap="1">
            <wp:simplePos x="0" y="0"/>
            <wp:positionH relativeFrom="column">
              <wp:posOffset>428625</wp:posOffset>
            </wp:positionH>
            <wp:positionV relativeFrom="page">
              <wp:posOffset>3208020</wp:posOffset>
            </wp:positionV>
            <wp:extent cx="4826000" cy="2743200"/>
            <wp:effectExtent l="4445" t="4445" r="8255" b="14605"/>
            <wp:wrapTopAndBottom/>
            <wp:docPr id="18"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Pr>
          <w:rFonts w:hint="default" w:ascii="Times New Roman" w:hAnsi="Times New Roman" w:eastAsia="方正黑体_GBK" w:cs="Times New Roman"/>
          <w:color w:val="auto"/>
          <w:spacing w:val="7"/>
          <w:sz w:val="32"/>
          <w:szCs w:val="32"/>
          <w:highlight w:val="none"/>
        </w:rPr>
        <w:t>五、一般公共预算财政拨款支出决算情况说明</w:t>
      </w:r>
      <w:bookmarkEnd w:id="22"/>
    </w:p>
    <w:p>
      <w:pPr>
        <w:keepNext w:val="0"/>
        <w:keepLines w:val="0"/>
        <w:pageBreakBefore w:val="0"/>
        <w:widowControl/>
        <w:kinsoku/>
        <w:wordWrap/>
        <w:overflowPunct w:val="0"/>
        <w:topLinePunct w:val="0"/>
        <w:autoSpaceDE w:val="0"/>
        <w:autoSpaceDN w:val="0"/>
        <w:bidi w:val="0"/>
        <w:adjustRightInd w:val="0"/>
        <w:snapToGrid w:val="0"/>
        <w:spacing w:line="550" w:lineRule="exact"/>
        <w:ind w:left="0" w:firstLine="629"/>
        <w:jc w:val="both"/>
        <w:textAlignment w:val="baseline"/>
        <w:rPr>
          <w:rFonts w:hint="eastAsia" w:ascii="方正仿宋_GBK" w:hAnsi="方正仿宋_GBK" w:eastAsia="方正仿宋_GBK" w:cs="方正仿宋_GBK"/>
          <w:snapToGrid w:val="0"/>
          <w:color w:val="auto"/>
          <w:spacing w:val="3"/>
          <w:kern w:val="0"/>
          <w:sz w:val="31"/>
          <w:szCs w:val="31"/>
          <w:lang w:val="en-US" w:eastAsia="zh-CN" w:bidi="ar-SA"/>
        </w:rPr>
      </w:pPr>
      <w:r>
        <w:rPr>
          <w:rFonts w:hint="eastAsia" w:ascii="方正仿宋_GBK" w:hAnsi="方正仿宋_GBK" w:eastAsia="方正仿宋_GBK" w:cs="方正仿宋_GBK"/>
          <w:snapToGrid w:val="0"/>
          <w:color w:val="auto"/>
          <w:spacing w:val="3"/>
          <w:kern w:val="0"/>
          <w:sz w:val="31"/>
          <w:szCs w:val="31"/>
          <w:lang w:val="en-US" w:eastAsia="zh-CN" w:bidi="ar-SA"/>
        </w:rPr>
        <w:t>资兴市消防救援大队厉行节约办一切事业，严控一般性支出，同时坚持有保有压，优化支出结构，合理保障消防救援队伍日常运转等重点支出，持续提高资金使用效益，体现在有关支出科目中。</w:t>
      </w:r>
    </w:p>
    <w:p>
      <w:pPr>
        <w:keepNext w:val="0"/>
        <w:keepLines w:val="0"/>
        <w:pageBreakBefore w:val="0"/>
        <w:widowControl/>
        <w:kinsoku/>
        <w:wordWrap/>
        <w:overflowPunct w:val="0"/>
        <w:topLinePunct w:val="0"/>
        <w:autoSpaceDE w:val="0"/>
        <w:autoSpaceDN w:val="0"/>
        <w:bidi w:val="0"/>
        <w:adjustRightInd w:val="0"/>
        <w:snapToGrid w:val="0"/>
        <w:spacing w:line="550" w:lineRule="exact"/>
        <w:ind w:left="0" w:firstLine="629"/>
        <w:jc w:val="both"/>
        <w:textAlignment w:val="baseline"/>
        <w:rPr>
          <w:rFonts w:hint="default" w:ascii="方正仿宋_GBK" w:hAnsi="方正仿宋_GBK" w:eastAsia="方正仿宋_GBK" w:cs="方正仿宋_GBK"/>
          <w:snapToGrid w:val="0"/>
          <w:color w:val="auto"/>
          <w:spacing w:val="3"/>
          <w:kern w:val="0"/>
          <w:sz w:val="31"/>
          <w:szCs w:val="31"/>
          <w:lang w:val="en-US" w:eastAsia="zh-CN" w:bidi="ar-SA"/>
        </w:rPr>
      </w:pPr>
      <w:r>
        <w:rPr>
          <w:rFonts w:hint="eastAsia" w:ascii="方正仿宋_GBK" w:hAnsi="方正仿宋_GBK" w:eastAsia="方正仿宋_GBK" w:cs="方正仿宋_GBK"/>
          <w:snapToGrid w:val="0"/>
          <w:color w:val="auto"/>
          <w:spacing w:val="3"/>
          <w:kern w:val="0"/>
          <w:sz w:val="31"/>
          <w:szCs w:val="31"/>
          <w:lang w:val="en-US" w:eastAsia="zh-CN" w:bidi="ar-SA"/>
        </w:rPr>
        <w:t>按照支出功能分类，项级科目2240201行政运行2025年度决算数为38.23</w:t>
      </w:r>
      <w:r>
        <w:rPr>
          <w:rFonts w:hint="default" w:ascii="方正仿宋_GBK" w:hAnsi="方正仿宋_GBK" w:eastAsia="方正仿宋_GBK" w:cs="方正仿宋_GBK"/>
          <w:snapToGrid w:val="0"/>
          <w:color w:val="auto"/>
          <w:spacing w:val="3"/>
          <w:kern w:val="0"/>
          <w:sz w:val="31"/>
          <w:szCs w:val="31"/>
          <w:lang w:val="en-US" w:eastAsia="zh-CN" w:bidi="ar-SA"/>
        </w:rPr>
        <w:t>万元，占</w:t>
      </w:r>
      <w:r>
        <w:rPr>
          <w:rFonts w:hint="eastAsia" w:ascii="方正仿宋_GBK" w:hAnsi="方正仿宋_GBK" w:eastAsia="方正仿宋_GBK" w:cs="方正仿宋_GBK"/>
          <w:snapToGrid w:val="0"/>
          <w:color w:val="auto"/>
          <w:spacing w:val="3"/>
          <w:kern w:val="0"/>
          <w:sz w:val="31"/>
          <w:szCs w:val="31"/>
          <w:lang w:val="en-US" w:eastAsia="zh-CN" w:bidi="ar-SA"/>
        </w:rPr>
        <w:t>45.93</w:t>
      </w:r>
      <w:r>
        <w:rPr>
          <w:rFonts w:hint="default" w:ascii="方正仿宋_GBK" w:hAnsi="方正仿宋_GBK" w:eastAsia="方正仿宋_GBK" w:cs="方正仿宋_GBK"/>
          <w:snapToGrid w:val="0"/>
          <w:color w:val="auto"/>
          <w:spacing w:val="3"/>
          <w:kern w:val="0"/>
          <w:sz w:val="31"/>
          <w:szCs w:val="31"/>
          <w:lang w:val="en-US" w:eastAsia="zh-CN" w:bidi="ar-SA"/>
        </w:rPr>
        <w:t>%</w:t>
      </w:r>
      <w:r>
        <w:rPr>
          <w:rFonts w:hint="eastAsia" w:ascii="方正仿宋_GBK" w:hAnsi="方正仿宋_GBK" w:eastAsia="方正仿宋_GBK" w:cs="方正仿宋_GBK"/>
          <w:snapToGrid w:val="0"/>
          <w:color w:val="auto"/>
          <w:spacing w:val="3"/>
          <w:kern w:val="0"/>
          <w:sz w:val="31"/>
          <w:szCs w:val="31"/>
          <w:lang w:val="en-US" w:eastAsia="zh-CN" w:bidi="ar-SA"/>
        </w:rPr>
        <w:t>，主要用于保障消防救援队伍日常运转支出，比2024年度增加20.03万元，增加110.05%，主要原因是</w:t>
      </w:r>
      <w:r>
        <w:rPr>
          <w:rFonts w:hint="default" w:ascii="方正仿宋_GBK" w:hAnsi="方正仿宋_GBK" w:eastAsia="方正仿宋_GBK" w:cs="方正仿宋_GBK"/>
          <w:snapToGrid w:val="0"/>
          <w:color w:val="auto"/>
          <w:spacing w:val="3"/>
          <w:kern w:val="0"/>
          <w:sz w:val="31"/>
          <w:szCs w:val="31"/>
          <w:lang w:val="en-US" w:eastAsia="zh-CN" w:bidi="ar-SA"/>
        </w:rPr>
        <w:t>我单位</w:t>
      </w:r>
      <w:r>
        <w:rPr>
          <w:rFonts w:hint="eastAsia" w:ascii="方正仿宋_GBK" w:hAnsi="方正仿宋_GBK" w:eastAsia="方正仿宋_GBK" w:cs="方正仿宋_GBK"/>
          <w:snapToGrid w:val="0"/>
          <w:color w:val="auto"/>
          <w:spacing w:val="3"/>
          <w:kern w:val="0"/>
          <w:sz w:val="31"/>
          <w:szCs w:val="31"/>
          <w:lang w:val="en-US" w:eastAsia="zh-CN" w:bidi="ar-SA"/>
        </w:rPr>
        <w:t>结转</w:t>
      </w:r>
      <w:r>
        <w:rPr>
          <w:rFonts w:hint="default" w:ascii="方正仿宋_GBK" w:hAnsi="方正仿宋_GBK" w:eastAsia="方正仿宋_GBK" w:cs="方正仿宋_GBK"/>
          <w:snapToGrid w:val="0"/>
          <w:color w:val="auto"/>
          <w:spacing w:val="3"/>
          <w:kern w:val="0"/>
          <w:sz w:val="31"/>
          <w:szCs w:val="31"/>
          <w:lang w:val="en-US" w:eastAsia="zh-CN" w:bidi="ar-SA"/>
        </w:rPr>
        <w:t>2024年</w:t>
      </w:r>
      <w:r>
        <w:rPr>
          <w:rFonts w:hint="eastAsia" w:ascii="方正仿宋_GBK" w:hAnsi="方正仿宋_GBK" w:eastAsia="方正仿宋_GBK" w:cs="方正仿宋_GBK"/>
          <w:snapToGrid w:val="0"/>
          <w:color w:val="auto"/>
          <w:spacing w:val="3"/>
          <w:kern w:val="0"/>
          <w:sz w:val="31"/>
          <w:szCs w:val="31"/>
          <w:lang w:val="en-US" w:eastAsia="zh-CN" w:bidi="ar-SA"/>
        </w:rPr>
        <w:t>底到位中央追加资兴灾情补助资金，相应增加收支。</w:t>
      </w:r>
    </w:p>
    <w:p>
      <w:pPr>
        <w:keepNext w:val="0"/>
        <w:keepLines w:val="0"/>
        <w:pageBreakBefore w:val="0"/>
        <w:widowControl/>
        <w:kinsoku/>
        <w:wordWrap/>
        <w:overflowPunct/>
        <w:topLinePunct w:val="0"/>
        <w:autoSpaceDE w:val="0"/>
        <w:autoSpaceDN w:val="0"/>
        <w:bidi w:val="0"/>
        <w:adjustRightInd w:val="0"/>
        <w:snapToGrid w:val="0"/>
        <w:spacing w:line="550" w:lineRule="exact"/>
        <w:ind w:firstLine="672" w:firstLineChars="200"/>
        <w:textAlignment w:val="baseline"/>
        <w:outlineLvl w:val="9"/>
        <w:rPr>
          <w:rFonts w:hint="default" w:ascii="Times New Roman" w:hAnsi="Times New Roman" w:eastAsia="方正楷体_GBK" w:cs="Times New Roman"/>
          <w:b w:val="0"/>
          <w:bCs w:val="0"/>
          <w:color w:val="auto"/>
          <w:spacing w:val="8"/>
          <w:sz w:val="32"/>
          <w:szCs w:val="32"/>
          <w:highlight w:val="none"/>
        </w:rPr>
      </w:pPr>
      <w:bookmarkStart w:id="23" w:name="_Toc929730174"/>
      <w:r>
        <w:rPr>
          <w:rFonts w:hint="default" w:ascii="Times New Roman" w:hAnsi="Times New Roman" w:eastAsia="方正楷体_GBK" w:cs="Times New Roman"/>
          <w:b w:val="0"/>
          <w:bCs w:val="0"/>
          <w:color w:val="auto"/>
          <w:spacing w:val="8"/>
          <w:sz w:val="32"/>
          <w:szCs w:val="32"/>
          <w:highlight w:val="none"/>
        </w:rPr>
        <w:t>（一）一般公共预算财政拨款支出决算总体情况</w:t>
      </w:r>
      <w:bookmarkEnd w:id="23"/>
    </w:p>
    <w:p>
      <w:pPr>
        <w:keepNext w:val="0"/>
        <w:keepLines w:val="0"/>
        <w:pageBreakBefore w:val="0"/>
        <w:widowControl/>
        <w:kinsoku/>
        <w:wordWrap/>
        <w:overflowPunct w:val="0"/>
        <w:topLinePunct w:val="0"/>
        <w:autoSpaceDE w:val="0"/>
        <w:autoSpaceDN w:val="0"/>
        <w:bidi w:val="0"/>
        <w:adjustRightInd w:val="0"/>
        <w:snapToGrid w:val="0"/>
        <w:spacing w:line="550" w:lineRule="exact"/>
        <w:ind w:left="0" w:firstLine="629"/>
        <w:jc w:val="both"/>
        <w:textAlignment w:val="baseline"/>
        <w:rPr>
          <w:rFonts w:hint="default" w:ascii="方正仿宋_GBK" w:hAnsi="方正仿宋_GBK" w:eastAsia="方正仿宋_GBK" w:cs="方正仿宋_GBK"/>
          <w:snapToGrid w:val="0"/>
          <w:color w:val="auto"/>
          <w:spacing w:val="3"/>
          <w:kern w:val="0"/>
          <w:sz w:val="31"/>
          <w:szCs w:val="31"/>
          <w:lang w:val="en-US" w:eastAsia="zh-CN" w:bidi="ar-SA"/>
        </w:rPr>
      </w:pPr>
      <w:r>
        <w:rPr>
          <w:rFonts w:hint="default" w:ascii="方正仿宋_GBK" w:hAnsi="方正仿宋_GBK" w:eastAsia="方正仿宋_GBK" w:cs="方正仿宋_GBK"/>
          <w:snapToGrid w:val="0"/>
          <w:color w:val="auto"/>
          <w:spacing w:val="3"/>
          <w:kern w:val="0"/>
          <w:sz w:val="31"/>
          <w:szCs w:val="31"/>
          <w:lang w:val="en-US" w:eastAsia="zh-CN" w:bidi="ar-SA"/>
        </w:rPr>
        <w:t>2025年度一般公共预算财政拨款支出</w:t>
      </w:r>
      <w:r>
        <w:rPr>
          <w:rFonts w:hint="eastAsia" w:ascii="方正仿宋_GBK" w:hAnsi="方正仿宋_GBK" w:eastAsia="方正仿宋_GBK" w:cs="方正仿宋_GBK"/>
          <w:snapToGrid w:val="0"/>
          <w:color w:val="auto"/>
          <w:spacing w:val="3"/>
          <w:kern w:val="0"/>
          <w:sz w:val="31"/>
          <w:szCs w:val="31"/>
          <w:lang w:val="en-US" w:eastAsia="zh-CN" w:bidi="ar-SA"/>
        </w:rPr>
        <w:t>83.24</w:t>
      </w:r>
      <w:r>
        <w:rPr>
          <w:rFonts w:hint="default" w:ascii="方正仿宋_GBK" w:hAnsi="方正仿宋_GBK" w:eastAsia="方正仿宋_GBK" w:cs="方正仿宋_GBK"/>
          <w:snapToGrid w:val="0"/>
          <w:color w:val="auto"/>
          <w:spacing w:val="3"/>
          <w:kern w:val="0"/>
          <w:sz w:val="31"/>
          <w:szCs w:val="31"/>
          <w:lang w:val="en-US" w:eastAsia="zh-CN" w:bidi="ar-SA"/>
        </w:rPr>
        <w:t>万元，占本年支出合计的</w:t>
      </w:r>
      <w:r>
        <w:rPr>
          <w:rFonts w:hint="eastAsia" w:ascii="方正仿宋_GBK" w:hAnsi="方正仿宋_GBK" w:eastAsia="方正仿宋_GBK" w:cs="方正仿宋_GBK"/>
          <w:snapToGrid w:val="0"/>
          <w:color w:val="auto"/>
          <w:spacing w:val="3"/>
          <w:kern w:val="0"/>
          <w:sz w:val="31"/>
          <w:szCs w:val="31"/>
          <w:lang w:val="en-US" w:eastAsia="zh-CN" w:bidi="ar-SA"/>
        </w:rPr>
        <w:t>5.96</w:t>
      </w:r>
      <w:r>
        <w:rPr>
          <w:rFonts w:hint="default" w:ascii="方正仿宋_GBK" w:hAnsi="方正仿宋_GBK" w:eastAsia="方正仿宋_GBK" w:cs="方正仿宋_GBK"/>
          <w:snapToGrid w:val="0"/>
          <w:color w:val="auto"/>
          <w:spacing w:val="3"/>
          <w:kern w:val="0"/>
          <w:sz w:val="31"/>
          <w:szCs w:val="31"/>
          <w:lang w:val="en-US" w:eastAsia="zh-CN" w:bidi="ar-SA"/>
        </w:rPr>
        <w:t>%，与2024年度相比，财政拨款支出</w:t>
      </w:r>
      <w:r>
        <w:rPr>
          <w:rFonts w:hint="eastAsia" w:ascii="方正仿宋_GBK" w:hAnsi="方正仿宋_GBK" w:eastAsia="方正仿宋_GBK" w:cs="方正仿宋_GBK"/>
          <w:snapToGrid w:val="0"/>
          <w:color w:val="auto"/>
          <w:spacing w:val="3"/>
          <w:kern w:val="0"/>
          <w:sz w:val="31"/>
          <w:szCs w:val="31"/>
          <w:lang w:val="en-US" w:eastAsia="zh-CN" w:bidi="ar-SA"/>
        </w:rPr>
        <w:t>增加25.28</w:t>
      </w:r>
      <w:r>
        <w:rPr>
          <w:rFonts w:hint="default" w:ascii="方正仿宋_GBK" w:hAnsi="方正仿宋_GBK" w:eastAsia="方正仿宋_GBK" w:cs="方正仿宋_GBK"/>
          <w:snapToGrid w:val="0"/>
          <w:color w:val="auto"/>
          <w:spacing w:val="3"/>
          <w:kern w:val="0"/>
          <w:sz w:val="31"/>
          <w:szCs w:val="31"/>
          <w:lang w:val="en-US" w:eastAsia="zh-CN" w:bidi="ar-SA"/>
        </w:rPr>
        <w:t>万元，</w:t>
      </w:r>
      <w:r>
        <w:rPr>
          <w:rFonts w:hint="eastAsia" w:ascii="方正仿宋_GBK" w:hAnsi="方正仿宋_GBK" w:eastAsia="方正仿宋_GBK" w:cs="方正仿宋_GBK"/>
          <w:snapToGrid w:val="0"/>
          <w:color w:val="auto"/>
          <w:spacing w:val="3"/>
          <w:kern w:val="0"/>
          <w:sz w:val="31"/>
          <w:szCs w:val="31"/>
          <w:lang w:val="en-US" w:eastAsia="zh-CN" w:bidi="ar-SA"/>
        </w:rPr>
        <w:t>增加43.62</w:t>
      </w:r>
      <w:r>
        <w:rPr>
          <w:rFonts w:hint="default" w:ascii="方正仿宋_GBK" w:hAnsi="方正仿宋_GBK" w:eastAsia="方正仿宋_GBK" w:cs="方正仿宋_GBK"/>
          <w:snapToGrid w:val="0"/>
          <w:color w:val="auto"/>
          <w:spacing w:val="3"/>
          <w:kern w:val="0"/>
          <w:sz w:val="31"/>
          <w:szCs w:val="31"/>
          <w:lang w:val="en-US" w:eastAsia="zh-CN" w:bidi="ar-SA"/>
        </w:rPr>
        <w:t>%，主要原因</w:t>
      </w:r>
      <w:r>
        <w:rPr>
          <w:rFonts w:hint="eastAsia" w:ascii="方正仿宋_GBK" w:hAnsi="方正仿宋_GBK" w:eastAsia="方正仿宋_GBK" w:cs="方正仿宋_GBK"/>
          <w:snapToGrid w:val="0"/>
          <w:color w:val="auto"/>
          <w:spacing w:val="3"/>
          <w:kern w:val="0"/>
          <w:sz w:val="31"/>
          <w:szCs w:val="31"/>
          <w:lang w:val="en-US" w:eastAsia="zh-CN" w:bidi="ar-SA"/>
        </w:rPr>
        <w:t>是</w:t>
      </w:r>
      <w:r>
        <w:rPr>
          <w:rFonts w:hint="default" w:ascii="方正仿宋_GBK" w:hAnsi="方正仿宋_GBK" w:eastAsia="方正仿宋_GBK" w:cs="方正仿宋_GBK"/>
          <w:snapToGrid w:val="0"/>
          <w:color w:val="auto"/>
          <w:spacing w:val="3"/>
          <w:kern w:val="0"/>
          <w:sz w:val="31"/>
          <w:szCs w:val="31"/>
          <w:lang w:val="en-US" w:eastAsia="zh-CN" w:bidi="ar-SA"/>
        </w:rPr>
        <w:t>我单位</w:t>
      </w:r>
      <w:r>
        <w:rPr>
          <w:rFonts w:hint="eastAsia" w:ascii="方正仿宋_GBK" w:hAnsi="方正仿宋_GBK" w:eastAsia="方正仿宋_GBK" w:cs="方正仿宋_GBK"/>
          <w:snapToGrid w:val="0"/>
          <w:color w:val="auto"/>
          <w:spacing w:val="3"/>
          <w:kern w:val="0"/>
          <w:sz w:val="31"/>
          <w:szCs w:val="31"/>
          <w:lang w:val="en-US" w:eastAsia="zh-CN" w:bidi="ar-SA"/>
        </w:rPr>
        <w:t>结转</w:t>
      </w:r>
      <w:r>
        <w:rPr>
          <w:rFonts w:hint="default" w:ascii="方正仿宋_GBK" w:hAnsi="方正仿宋_GBK" w:eastAsia="方正仿宋_GBK" w:cs="方正仿宋_GBK"/>
          <w:snapToGrid w:val="0"/>
          <w:color w:val="auto"/>
          <w:spacing w:val="3"/>
          <w:kern w:val="0"/>
          <w:sz w:val="31"/>
          <w:szCs w:val="31"/>
          <w:lang w:val="en-US" w:eastAsia="zh-CN" w:bidi="ar-SA"/>
        </w:rPr>
        <w:t>2024年</w:t>
      </w:r>
      <w:r>
        <w:rPr>
          <w:rFonts w:hint="eastAsia" w:ascii="方正仿宋_GBK" w:hAnsi="方正仿宋_GBK" w:eastAsia="方正仿宋_GBK" w:cs="方正仿宋_GBK"/>
          <w:snapToGrid w:val="0"/>
          <w:color w:val="auto"/>
          <w:spacing w:val="3"/>
          <w:kern w:val="0"/>
          <w:sz w:val="31"/>
          <w:szCs w:val="31"/>
          <w:lang w:val="en-US" w:eastAsia="zh-CN" w:bidi="ar-SA"/>
        </w:rPr>
        <w:t>底到位中央追加资兴灾情补助资金，相应增加收支。</w:t>
      </w:r>
    </w:p>
    <w:p>
      <w:pPr>
        <w:keepNext w:val="0"/>
        <w:keepLines w:val="0"/>
        <w:pageBreakBefore w:val="0"/>
        <w:widowControl/>
        <w:kinsoku/>
        <w:wordWrap/>
        <w:overflowPunct/>
        <w:topLinePunct w:val="0"/>
        <w:autoSpaceDE w:val="0"/>
        <w:autoSpaceDN w:val="0"/>
        <w:bidi w:val="0"/>
        <w:adjustRightInd w:val="0"/>
        <w:snapToGrid w:val="0"/>
        <w:spacing w:line="550" w:lineRule="exact"/>
        <w:ind w:firstLine="632" w:firstLineChars="200"/>
        <w:textAlignment w:val="baseline"/>
        <w:outlineLvl w:val="9"/>
        <w:rPr>
          <w:rFonts w:hint="default" w:ascii="Times New Roman" w:hAnsi="Times New Roman" w:eastAsia="方正楷体_GBK" w:cs="Times New Roman"/>
          <w:b w:val="0"/>
          <w:bCs w:val="0"/>
          <w:color w:val="auto"/>
          <w:spacing w:val="8"/>
          <w:sz w:val="32"/>
          <w:szCs w:val="32"/>
          <w:highlight w:val="none"/>
        </w:rPr>
      </w:pPr>
      <w:bookmarkStart w:id="24" w:name="bookmark44"/>
      <w:bookmarkEnd w:id="24"/>
      <w:bookmarkStart w:id="25" w:name="_Toc1222100889"/>
      <w:r>
        <w:rPr>
          <w:rFonts w:hint="eastAsia" w:ascii="方正仿宋_GBK" w:hAnsi="方正仿宋_GBK" w:eastAsia="方正仿宋_GBK" w:cs="方正仿宋_GBK"/>
          <w:snapToGrid w:val="0"/>
          <w:color w:val="auto"/>
          <w:spacing w:val="3"/>
          <w:kern w:val="0"/>
          <w:sz w:val="31"/>
          <w:szCs w:val="31"/>
          <w:lang w:val="en-US" w:eastAsia="zh-CN" w:bidi="ar-SA"/>
        </w:rPr>
        <w:drawing>
          <wp:anchor distT="0" distB="0" distL="114300" distR="114300" simplePos="0" relativeHeight="251679744" behindDoc="0" locked="0" layoutInCell="1" allowOverlap="1">
            <wp:simplePos x="0" y="0"/>
            <wp:positionH relativeFrom="column">
              <wp:posOffset>537210</wp:posOffset>
            </wp:positionH>
            <wp:positionV relativeFrom="page">
              <wp:posOffset>3296920</wp:posOffset>
            </wp:positionV>
            <wp:extent cx="4826000" cy="2743200"/>
            <wp:effectExtent l="4445" t="4445" r="8255" b="14605"/>
            <wp:wrapTopAndBottom/>
            <wp:docPr id="13"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Pr>
          <w:rFonts w:hint="default" w:ascii="Times New Roman" w:hAnsi="Times New Roman" w:eastAsia="方正楷体_GBK" w:cs="Times New Roman"/>
          <w:b w:val="0"/>
          <w:bCs w:val="0"/>
          <w:color w:val="auto"/>
          <w:spacing w:val="8"/>
          <w:sz w:val="32"/>
          <w:szCs w:val="32"/>
          <w:highlight w:val="none"/>
        </w:rPr>
        <w:t>（二）一般公共预算财政拨款支出决算结构情况</w:t>
      </w:r>
      <w:bookmarkEnd w:id="25"/>
    </w:p>
    <w:p>
      <w:pPr>
        <w:keepNext w:val="0"/>
        <w:keepLines w:val="0"/>
        <w:pageBreakBefore w:val="0"/>
        <w:widowControl/>
        <w:kinsoku/>
        <w:wordWrap/>
        <w:overflowPunct w:val="0"/>
        <w:topLinePunct w:val="0"/>
        <w:autoSpaceDE w:val="0"/>
        <w:autoSpaceDN w:val="0"/>
        <w:bidi w:val="0"/>
        <w:adjustRightInd w:val="0"/>
        <w:snapToGrid w:val="0"/>
        <w:spacing w:line="550" w:lineRule="exact"/>
        <w:ind w:left="0" w:firstLine="629"/>
        <w:jc w:val="both"/>
        <w:textAlignment w:val="baseline"/>
        <w:rPr>
          <w:rFonts w:hint="default" w:ascii="方正仿宋_GBK" w:hAnsi="方正仿宋_GBK" w:eastAsia="方正仿宋_GBK" w:cs="方正仿宋_GBK"/>
          <w:snapToGrid w:val="0"/>
          <w:color w:val="auto"/>
          <w:spacing w:val="3"/>
          <w:kern w:val="0"/>
          <w:sz w:val="31"/>
          <w:szCs w:val="31"/>
          <w:lang w:val="en-US" w:eastAsia="zh-CN" w:bidi="ar-SA"/>
        </w:rPr>
      </w:pPr>
      <w:r>
        <w:rPr>
          <w:rFonts w:hint="default" w:ascii="方正仿宋_GBK" w:hAnsi="方正仿宋_GBK" w:eastAsia="方正仿宋_GBK" w:cs="方正仿宋_GBK"/>
          <w:snapToGrid w:val="0"/>
          <w:color w:val="auto"/>
          <w:spacing w:val="3"/>
          <w:kern w:val="0"/>
          <w:sz w:val="31"/>
          <w:szCs w:val="31"/>
          <w:lang w:val="en-US" w:eastAsia="zh-CN" w:bidi="ar-SA"/>
        </w:rPr>
        <w:t>2025年度一般公共预算财政拨款支出</w:t>
      </w:r>
      <w:r>
        <w:rPr>
          <w:rFonts w:hint="eastAsia" w:ascii="方正仿宋_GBK" w:hAnsi="方正仿宋_GBK" w:eastAsia="方正仿宋_GBK" w:cs="方正仿宋_GBK"/>
          <w:snapToGrid w:val="0"/>
          <w:color w:val="auto"/>
          <w:spacing w:val="3"/>
          <w:kern w:val="0"/>
          <w:sz w:val="31"/>
          <w:szCs w:val="31"/>
          <w:lang w:val="en-US" w:eastAsia="zh-CN" w:bidi="ar-SA"/>
        </w:rPr>
        <w:t>83.24</w:t>
      </w:r>
      <w:r>
        <w:rPr>
          <w:rFonts w:hint="default" w:ascii="方正仿宋_GBK" w:hAnsi="方正仿宋_GBK" w:eastAsia="方正仿宋_GBK" w:cs="方正仿宋_GBK"/>
          <w:snapToGrid w:val="0"/>
          <w:color w:val="auto"/>
          <w:spacing w:val="3"/>
          <w:kern w:val="0"/>
          <w:sz w:val="31"/>
          <w:szCs w:val="31"/>
          <w:lang w:val="en-US" w:eastAsia="zh-CN" w:bidi="ar-SA"/>
        </w:rPr>
        <w:t>万元，主要用于以下方面：社会保障和就业支出</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万元，占</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%；卫生健康支出</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万元，占</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%；住房保障支出</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万元，占</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%；灾害防治及应急管理</w:t>
      </w:r>
    </w:p>
    <w:p>
      <w:pPr>
        <w:keepNext w:val="0"/>
        <w:keepLines w:val="0"/>
        <w:pageBreakBefore w:val="0"/>
        <w:widowControl/>
        <w:kinsoku/>
        <w:wordWrap/>
        <w:overflowPunct w:val="0"/>
        <w:topLinePunct w:val="0"/>
        <w:autoSpaceDE w:val="0"/>
        <w:autoSpaceDN w:val="0"/>
        <w:bidi w:val="0"/>
        <w:adjustRightInd w:val="0"/>
        <w:snapToGrid w:val="0"/>
        <w:spacing w:line="550" w:lineRule="exact"/>
        <w:jc w:val="both"/>
        <w:textAlignment w:val="baseline"/>
        <w:rPr>
          <w:rFonts w:hint="default" w:ascii="方正仿宋_GBK" w:hAnsi="方正仿宋_GBK" w:eastAsia="方正仿宋_GBK" w:cs="方正仿宋_GBK"/>
          <w:snapToGrid w:val="0"/>
          <w:color w:val="auto"/>
          <w:spacing w:val="3"/>
          <w:kern w:val="0"/>
          <w:sz w:val="31"/>
          <w:szCs w:val="31"/>
          <w:lang w:val="en-US" w:eastAsia="zh-CN" w:bidi="ar-SA"/>
        </w:rPr>
      </w:pPr>
      <w:r>
        <w:rPr>
          <w:rFonts w:hint="default" w:ascii="方正仿宋_GBK" w:hAnsi="方正仿宋_GBK" w:eastAsia="方正仿宋_GBK" w:cs="方正仿宋_GBK"/>
          <w:snapToGrid w:val="0"/>
          <w:color w:val="auto"/>
          <w:spacing w:val="3"/>
          <w:kern w:val="0"/>
          <w:sz w:val="31"/>
          <w:szCs w:val="31"/>
          <w:lang w:val="en-US" w:eastAsia="zh-CN" w:bidi="ar-SA"/>
        </w:rPr>
        <w:t>支出</w:t>
      </w:r>
      <w:r>
        <w:rPr>
          <w:rFonts w:hint="eastAsia" w:ascii="方正仿宋_GBK" w:hAnsi="方正仿宋_GBK" w:eastAsia="方正仿宋_GBK" w:cs="方正仿宋_GBK"/>
          <w:snapToGrid w:val="0"/>
          <w:color w:val="auto"/>
          <w:spacing w:val="3"/>
          <w:kern w:val="0"/>
          <w:sz w:val="31"/>
          <w:szCs w:val="31"/>
          <w:lang w:val="en-US" w:eastAsia="zh-CN" w:bidi="ar-SA"/>
        </w:rPr>
        <w:t>83.24</w:t>
      </w:r>
      <w:r>
        <w:rPr>
          <w:rFonts w:hint="default" w:ascii="方正仿宋_GBK" w:hAnsi="方正仿宋_GBK" w:eastAsia="方正仿宋_GBK" w:cs="方正仿宋_GBK"/>
          <w:snapToGrid w:val="0"/>
          <w:color w:val="auto"/>
          <w:spacing w:val="3"/>
          <w:kern w:val="0"/>
          <w:sz w:val="31"/>
          <w:szCs w:val="31"/>
          <w:lang w:val="en-US" w:eastAsia="zh-CN" w:bidi="ar-SA"/>
        </w:rPr>
        <w:t>万元，占</w:t>
      </w:r>
      <w:r>
        <w:rPr>
          <w:rFonts w:hint="eastAsia" w:ascii="方正仿宋_GBK" w:hAnsi="方正仿宋_GBK" w:eastAsia="方正仿宋_GBK" w:cs="方正仿宋_GBK"/>
          <w:snapToGrid w:val="0"/>
          <w:color w:val="auto"/>
          <w:spacing w:val="3"/>
          <w:kern w:val="0"/>
          <w:sz w:val="31"/>
          <w:szCs w:val="31"/>
          <w:lang w:val="en-US" w:eastAsia="zh-CN" w:bidi="ar-SA"/>
        </w:rPr>
        <w:t>100</w:t>
      </w:r>
      <w:r>
        <w:rPr>
          <w:rFonts w:hint="default" w:ascii="方正仿宋_GBK" w:hAnsi="方正仿宋_GBK" w:eastAsia="方正仿宋_GBK" w:cs="方正仿宋_GBK"/>
          <w:snapToGrid w:val="0"/>
          <w:color w:val="auto"/>
          <w:spacing w:val="3"/>
          <w:kern w:val="0"/>
          <w:sz w:val="31"/>
          <w:szCs w:val="31"/>
          <w:lang w:val="en-US" w:eastAsia="zh-CN" w:bidi="ar-SA"/>
        </w:rPr>
        <w:t>%。</w:t>
      </w:r>
      <w:bookmarkStart w:id="26" w:name="bookmark45"/>
      <w:bookmarkEnd w:id="26"/>
    </w:p>
    <w:p>
      <w:pPr>
        <w:pStyle w:val="2"/>
        <w:rPr>
          <w:rFonts w:hint="default" w:ascii="方正仿宋_GBK" w:hAnsi="方正仿宋_GBK" w:eastAsia="方正仿宋_GBK" w:cs="方正仿宋_GBK"/>
          <w:snapToGrid w:val="0"/>
          <w:color w:val="auto"/>
          <w:spacing w:val="3"/>
          <w:kern w:val="0"/>
          <w:sz w:val="31"/>
          <w:szCs w:val="31"/>
          <w:lang w:val="en-US" w:eastAsia="zh-CN" w:bidi="ar-SA"/>
        </w:rPr>
      </w:pPr>
    </w:p>
    <w:p>
      <w:pPr>
        <w:pStyle w:val="2"/>
        <w:rPr>
          <w:rFonts w:hint="default"/>
          <w:lang w:val="en-US" w:eastAsia="zh-CN"/>
        </w:rPr>
      </w:pPr>
      <w:r>
        <w:rPr>
          <w:rFonts w:hint="default" w:ascii="方正仿宋_GBK" w:hAnsi="方正仿宋_GBK" w:eastAsia="方正仿宋_GBK" w:cs="方正仿宋_GBK"/>
          <w:snapToGrid w:val="0"/>
          <w:color w:val="auto"/>
          <w:spacing w:val="3"/>
          <w:kern w:val="0"/>
          <w:sz w:val="31"/>
          <w:szCs w:val="31"/>
          <w:lang w:val="en-US" w:eastAsia="zh-CN" w:bidi="ar-SA"/>
        </w:rPr>
        <w:drawing>
          <wp:anchor distT="0" distB="0" distL="114300" distR="114300" simplePos="0" relativeHeight="251682816" behindDoc="0" locked="0" layoutInCell="1" allowOverlap="1">
            <wp:simplePos x="0" y="0"/>
            <wp:positionH relativeFrom="column">
              <wp:posOffset>762635</wp:posOffset>
            </wp:positionH>
            <wp:positionV relativeFrom="paragraph">
              <wp:posOffset>192405</wp:posOffset>
            </wp:positionV>
            <wp:extent cx="4438015" cy="2195830"/>
            <wp:effectExtent l="5080" t="5080" r="14605" b="8890"/>
            <wp:wrapTopAndBottom/>
            <wp:docPr id="2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pPr>
        <w:keepNext w:val="0"/>
        <w:keepLines w:val="0"/>
        <w:pageBreakBefore w:val="0"/>
        <w:widowControl/>
        <w:kinsoku/>
        <w:wordWrap/>
        <w:overflowPunct/>
        <w:topLinePunct w:val="0"/>
        <w:autoSpaceDE w:val="0"/>
        <w:autoSpaceDN w:val="0"/>
        <w:bidi w:val="0"/>
        <w:adjustRightInd w:val="0"/>
        <w:snapToGrid w:val="0"/>
        <w:spacing w:line="600" w:lineRule="exact"/>
        <w:ind w:firstLine="672" w:firstLineChars="200"/>
        <w:textAlignment w:val="baseline"/>
        <w:outlineLvl w:val="9"/>
        <w:rPr>
          <w:rFonts w:hint="default" w:ascii="Times New Roman" w:hAnsi="Times New Roman" w:eastAsia="方正楷体_GBK" w:cs="Times New Roman"/>
          <w:b w:val="0"/>
          <w:bCs w:val="0"/>
          <w:color w:val="auto"/>
          <w:spacing w:val="8"/>
          <w:sz w:val="32"/>
          <w:szCs w:val="32"/>
          <w:highlight w:val="none"/>
        </w:rPr>
      </w:pPr>
      <w:bookmarkStart w:id="27" w:name="_Toc518925140"/>
      <w:r>
        <w:rPr>
          <w:rFonts w:hint="default" w:ascii="Times New Roman" w:hAnsi="Times New Roman" w:eastAsia="方正楷体_GBK" w:cs="Times New Roman"/>
          <w:b w:val="0"/>
          <w:bCs w:val="0"/>
          <w:color w:val="auto"/>
          <w:spacing w:val="8"/>
          <w:sz w:val="32"/>
          <w:szCs w:val="32"/>
          <w:highlight w:val="none"/>
        </w:rPr>
        <w:t>（三）一般公共预算财政拨款支出决算具体情况</w:t>
      </w:r>
      <w:bookmarkEnd w:id="27"/>
    </w:p>
    <w:p>
      <w:pPr>
        <w:keepNext w:val="0"/>
        <w:keepLines w:val="0"/>
        <w:pageBreakBefore w:val="0"/>
        <w:widowControl/>
        <w:kinsoku/>
        <w:wordWrap/>
        <w:overflowPunct w:val="0"/>
        <w:topLinePunct w:val="0"/>
        <w:autoSpaceDE w:val="0"/>
        <w:autoSpaceDN w:val="0"/>
        <w:bidi w:val="0"/>
        <w:adjustRightInd w:val="0"/>
        <w:snapToGrid w:val="0"/>
        <w:spacing w:line="550" w:lineRule="exact"/>
        <w:ind w:left="0" w:right="0" w:firstLine="629"/>
        <w:jc w:val="both"/>
        <w:textAlignment w:val="baseline"/>
        <w:rPr>
          <w:rFonts w:hint="default" w:ascii="Times New Roman" w:hAnsi="Times New Roman" w:eastAsia="方正仿宋_GBK" w:cs="Times New Roman"/>
          <w:color w:val="auto"/>
          <w:sz w:val="32"/>
          <w:szCs w:val="32"/>
          <w:highlight w:val="none"/>
        </w:rPr>
      </w:pPr>
      <w:r>
        <w:rPr>
          <w:rFonts w:hint="default" w:ascii="方正仿宋_GBK" w:hAnsi="方正仿宋_GBK" w:eastAsia="方正仿宋_GBK" w:cs="方正仿宋_GBK"/>
          <w:snapToGrid w:val="0"/>
          <w:color w:val="auto"/>
          <w:spacing w:val="3"/>
          <w:kern w:val="0"/>
          <w:sz w:val="31"/>
          <w:szCs w:val="31"/>
          <w:lang w:val="en-US" w:eastAsia="zh-CN" w:bidi="ar-SA"/>
        </w:rPr>
        <w:t>2025年度一般公共预算财政拨款支出年初预算为</w:t>
      </w:r>
      <w:r>
        <w:rPr>
          <w:rFonts w:hint="eastAsia" w:ascii="方正仿宋_GBK" w:hAnsi="方正仿宋_GBK" w:eastAsia="方正仿宋_GBK" w:cs="方正仿宋_GBK"/>
          <w:snapToGrid w:val="0"/>
          <w:color w:val="auto"/>
          <w:spacing w:val="3"/>
          <w:kern w:val="0"/>
          <w:sz w:val="31"/>
          <w:szCs w:val="31"/>
          <w:lang w:val="en-US" w:eastAsia="zh-CN" w:bidi="ar-SA"/>
        </w:rPr>
        <w:t>83.24</w:t>
      </w:r>
      <w:r>
        <w:rPr>
          <w:rFonts w:hint="default" w:ascii="方正仿宋_GBK" w:hAnsi="方正仿宋_GBK" w:eastAsia="方正仿宋_GBK" w:cs="方正仿宋_GBK"/>
          <w:snapToGrid w:val="0"/>
          <w:color w:val="auto"/>
          <w:spacing w:val="3"/>
          <w:kern w:val="0"/>
          <w:sz w:val="31"/>
          <w:szCs w:val="31"/>
          <w:lang w:val="en-US" w:eastAsia="zh-CN" w:bidi="ar-SA"/>
        </w:rPr>
        <w:t>万元，支出决算为</w:t>
      </w:r>
      <w:r>
        <w:rPr>
          <w:rFonts w:hint="eastAsia" w:ascii="方正仿宋_GBK" w:hAnsi="方正仿宋_GBK" w:eastAsia="方正仿宋_GBK" w:cs="方正仿宋_GBK"/>
          <w:snapToGrid w:val="0"/>
          <w:color w:val="auto"/>
          <w:spacing w:val="3"/>
          <w:kern w:val="0"/>
          <w:sz w:val="31"/>
          <w:szCs w:val="31"/>
          <w:lang w:val="en-US" w:eastAsia="zh-CN" w:bidi="ar-SA"/>
        </w:rPr>
        <w:t>83.24</w:t>
      </w:r>
      <w:r>
        <w:rPr>
          <w:rFonts w:hint="default" w:ascii="方正仿宋_GBK" w:hAnsi="方正仿宋_GBK" w:eastAsia="方正仿宋_GBK" w:cs="方正仿宋_GBK"/>
          <w:snapToGrid w:val="0"/>
          <w:color w:val="auto"/>
          <w:spacing w:val="3"/>
          <w:kern w:val="0"/>
          <w:sz w:val="31"/>
          <w:szCs w:val="31"/>
          <w:lang w:val="en-US" w:eastAsia="zh-CN" w:bidi="ar-SA"/>
        </w:rPr>
        <w:t>万元，完成年初预算的</w:t>
      </w:r>
      <w:r>
        <w:rPr>
          <w:rFonts w:hint="eastAsia" w:ascii="方正仿宋_GBK" w:hAnsi="方正仿宋_GBK" w:eastAsia="方正仿宋_GBK" w:cs="方正仿宋_GBK"/>
          <w:snapToGrid w:val="0"/>
          <w:color w:val="auto"/>
          <w:spacing w:val="3"/>
          <w:kern w:val="0"/>
          <w:sz w:val="31"/>
          <w:szCs w:val="31"/>
          <w:lang w:val="en-US" w:eastAsia="zh-CN" w:bidi="ar-SA"/>
        </w:rPr>
        <w:t>100</w:t>
      </w:r>
      <w:r>
        <w:rPr>
          <w:rFonts w:hint="default" w:ascii="方正仿宋_GBK" w:hAnsi="方正仿宋_GBK" w:eastAsia="方正仿宋_GBK" w:cs="方正仿宋_GBK"/>
          <w:snapToGrid w:val="0"/>
          <w:color w:val="auto"/>
          <w:spacing w:val="3"/>
          <w:kern w:val="0"/>
          <w:sz w:val="31"/>
          <w:szCs w:val="31"/>
          <w:lang w:val="en-US" w:eastAsia="zh-CN" w:bidi="ar-SA"/>
        </w:rPr>
        <w:t>%。其中：</w:t>
      </w:r>
    </w:p>
    <w:p>
      <w:pPr>
        <w:keepNext w:val="0"/>
        <w:keepLines w:val="0"/>
        <w:pageBreakBefore w:val="0"/>
        <w:widowControl/>
        <w:numPr>
          <w:ilvl w:val="0"/>
          <w:numId w:val="0"/>
        </w:numPr>
        <w:kinsoku/>
        <w:wordWrap/>
        <w:overflowPunct/>
        <w:topLinePunct w:val="0"/>
        <w:autoSpaceDE w:val="0"/>
        <w:autoSpaceDN w:val="0"/>
        <w:bidi w:val="0"/>
        <w:adjustRightInd w:val="0"/>
        <w:snapToGrid w:val="0"/>
        <w:spacing w:before="3" w:line="550" w:lineRule="exact"/>
        <w:ind w:firstLine="654" w:firstLineChars="200"/>
        <w:jc w:val="both"/>
        <w:textAlignment w:val="baseline"/>
        <w:rPr>
          <w:rFonts w:hint="default" w:ascii="方正仿宋_GBK" w:hAnsi="方正仿宋_GBK" w:eastAsia="方正仿宋_GBK" w:cs="方正仿宋_GBK"/>
          <w:snapToGrid w:val="0"/>
          <w:color w:val="auto"/>
          <w:spacing w:val="3"/>
          <w:kern w:val="0"/>
          <w:sz w:val="31"/>
          <w:szCs w:val="31"/>
          <w:lang w:val="en-US" w:eastAsia="zh-CN" w:bidi="ar-SA"/>
        </w:rPr>
      </w:pPr>
      <w:r>
        <w:rPr>
          <w:rFonts w:hint="eastAsia" w:ascii="方正仿宋_GBK" w:hAnsi="方正仿宋_GBK" w:eastAsia="方正仿宋_GBK" w:cs="方正仿宋_GBK"/>
          <w:b/>
          <w:bCs/>
          <w:snapToGrid w:val="0"/>
          <w:color w:val="auto"/>
          <w:spacing w:val="8"/>
          <w:kern w:val="0"/>
          <w:sz w:val="31"/>
          <w:szCs w:val="31"/>
          <w:lang w:val="en-US" w:eastAsia="zh-CN" w:bidi="ar-SA"/>
        </w:rPr>
        <w:t>1.</w:t>
      </w:r>
      <w:r>
        <w:rPr>
          <w:rFonts w:hint="eastAsia" w:ascii="方正仿宋_GBK" w:hAnsi="方正仿宋_GBK" w:eastAsia="方正仿宋_GBK" w:cs="方正仿宋_GBK"/>
          <w:b/>
          <w:bCs/>
          <w:color w:val="auto"/>
          <w:spacing w:val="6"/>
          <w:sz w:val="31"/>
          <w:szCs w:val="31"/>
          <w:highlight w:val="none"/>
        </w:rPr>
        <w:t>社会保障和就业支出（类）行政事业单位养老支出（款）</w:t>
      </w:r>
      <w:r>
        <w:rPr>
          <w:rFonts w:hint="eastAsia" w:ascii="方正仿宋_GBK" w:hAnsi="方正仿宋_GBK" w:eastAsia="方正仿宋_GBK" w:cs="方正仿宋_GBK"/>
          <w:b/>
          <w:bCs/>
          <w:color w:val="auto"/>
          <w:spacing w:val="33"/>
          <w:sz w:val="31"/>
          <w:szCs w:val="31"/>
          <w:highlight w:val="none"/>
        </w:rPr>
        <w:t>机关事业单位基本养老保险缴费支出（项）</w:t>
      </w:r>
      <w:r>
        <w:rPr>
          <w:rFonts w:hint="eastAsia" w:ascii="方正仿宋_GBK" w:hAnsi="方正仿宋_GBK" w:eastAsia="方正仿宋_GBK" w:cs="方正仿宋_GBK"/>
          <w:b/>
          <w:bCs/>
          <w:color w:val="auto"/>
          <w:spacing w:val="33"/>
          <w:sz w:val="31"/>
          <w:szCs w:val="31"/>
          <w:highlight w:val="none"/>
          <w:lang w:eastAsia="zh-CN"/>
        </w:rPr>
        <w:t>。</w:t>
      </w:r>
      <w:r>
        <w:rPr>
          <w:rFonts w:hint="default" w:ascii="方正仿宋_GBK" w:hAnsi="方正仿宋_GBK" w:eastAsia="方正仿宋_GBK" w:cs="方正仿宋_GBK"/>
          <w:snapToGrid w:val="0"/>
          <w:color w:val="auto"/>
          <w:spacing w:val="3"/>
          <w:kern w:val="0"/>
          <w:sz w:val="31"/>
          <w:szCs w:val="31"/>
          <w:lang w:val="en-US" w:eastAsia="zh-CN" w:bidi="ar-SA"/>
        </w:rPr>
        <w:t>年初预算为</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万元，支出决算为</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万元，完成年初预算的</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w:t>
      </w:r>
    </w:p>
    <w:p>
      <w:pPr>
        <w:keepNext w:val="0"/>
        <w:keepLines w:val="0"/>
        <w:pageBreakBefore w:val="0"/>
        <w:widowControl/>
        <w:numPr>
          <w:ilvl w:val="0"/>
          <w:numId w:val="0"/>
        </w:numPr>
        <w:kinsoku/>
        <w:wordWrap/>
        <w:overflowPunct/>
        <w:topLinePunct w:val="0"/>
        <w:autoSpaceDE w:val="0"/>
        <w:autoSpaceDN w:val="0"/>
        <w:bidi w:val="0"/>
        <w:adjustRightInd w:val="0"/>
        <w:snapToGrid w:val="0"/>
        <w:spacing w:before="3" w:line="550" w:lineRule="exact"/>
        <w:ind w:firstLine="654" w:firstLineChars="200"/>
        <w:jc w:val="both"/>
        <w:textAlignment w:val="baseline"/>
        <w:rPr>
          <w:rFonts w:hint="default" w:ascii="方正仿宋_GBK" w:hAnsi="方正仿宋_GBK" w:eastAsia="方正仿宋_GBK" w:cs="方正仿宋_GBK"/>
          <w:snapToGrid w:val="0"/>
          <w:color w:val="auto"/>
          <w:spacing w:val="3"/>
          <w:kern w:val="0"/>
          <w:sz w:val="31"/>
          <w:szCs w:val="31"/>
          <w:lang w:val="en-US" w:eastAsia="zh-CN" w:bidi="ar-SA"/>
        </w:rPr>
      </w:pPr>
      <w:r>
        <w:rPr>
          <w:rFonts w:hint="eastAsia" w:ascii="方正仿宋_GBK" w:hAnsi="方正仿宋_GBK" w:eastAsia="方正仿宋_GBK" w:cs="方正仿宋_GBK"/>
          <w:b/>
          <w:bCs/>
          <w:snapToGrid w:val="0"/>
          <w:color w:val="auto"/>
          <w:spacing w:val="8"/>
          <w:kern w:val="0"/>
          <w:sz w:val="31"/>
          <w:szCs w:val="31"/>
          <w:lang w:val="en-US" w:eastAsia="zh-CN" w:bidi="ar-SA"/>
        </w:rPr>
        <w:t>2</w:t>
      </w:r>
      <w:r>
        <w:rPr>
          <w:rFonts w:hint="default" w:ascii="方正仿宋_GBK" w:hAnsi="方正仿宋_GBK" w:eastAsia="方正仿宋_GBK" w:cs="方正仿宋_GBK"/>
          <w:b/>
          <w:bCs/>
          <w:snapToGrid w:val="0"/>
          <w:color w:val="auto"/>
          <w:spacing w:val="8"/>
          <w:kern w:val="0"/>
          <w:sz w:val="31"/>
          <w:szCs w:val="31"/>
          <w:lang w:val="en-US" w:eastAsia="zh-CN" w:bidi="ar-SA"/>
        </w:rPr>
        <w:t>.社会保障和就业支出（类）行政事业单位养老支出（款）机关事业单位职业年金缴费支出（项）。</w:t>
      </w:r>
      <w:r>
        <w:rPr>
          <w:rFonts w:hint="default" w:ascii="方正仿宋_GBK" w:hAnsi="方正仿宋_GBK" w:eastAsia="方正仿宋_GBK" w:cs="方正仿宋_GBK"/>
          <w:snapToGrid w:val="0"/>
          <w:color w:val="auto"/>
          <w:spacing w:val="3"/>
          <w:kern w:val="0"/>
          <w:sz w:val="31"/>
          <w:szCs w:val="31"/>
          <w:lang w:val="en-US" w:eastAsia="zh-CN" w:bidi="ar-SA"/>
        </w:rPr>
        <w:t>年初预算为</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万元，支出决算为</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万元，完成年初预算的</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w:t>
      </w:r>
    </w:p>
    <w:p>
      <w:pPr>
        <w:keepNext w:val="0"/>
        <w:keepLines w:val="0"/>
        <w:pageBreakBefore w:val="0"/>
        <w:widowControl/>
        <w:numPr>
          <w:ilvl w:val="0"/>
          <w:numId w:val="0"/>
        </w:numPr>
        <w:kinsoku/>
        <w:wordWrap/>
        <w:overflowPunct/>
        <w:topLinePunct w:val="0"/>
        <w:autoSpaceDE w:val="0"/>
        <w:autoSpaceDN w:val="0"/>
        <w:bidi w:val="0"/>
        <w:adjustRightInd w:val="0"/>
        <w:snapToGrid w:val="0"/>
        <w:spacing w:before="3" w:line="550" w:lineRule="exact"/>
        <w:ind w:firstLine="654" w:firstLineChars="200"/>
        <w:jc w:val="both"/>
        <w:textAlignment w:val="baseline"/>
        <w:rPr>
          <w:rFonts w:hint="default" w:ascii="方正仿宋_GBK" w:hAnsi="方正仿宋_GBK" w:eastAsia="方正仿宋_GBK" w:cs="方正仿宋_GBK"/>
          <w:snapToGrid w:val="0"/>
          <w:color w:val="auto"/>
          <w:spacing w:val="3"/>
          <w:kern w:val="0"/>
          <w:sz w:val="31"/>
          <w:szCs w:val="31"/>
          <w:lang w:val="en-US" w:eastAsia="zh-CN" w:bidi="ar-SA"/>
        </w:rPr>
      </w:pPr>
      <w:r>
        <w:rPr>
          <w:rFonts w:hint="default" w:ascii="方正仿宋_GBK" w:hAnsi="方正仿宋_GBK" w:eastAsia="方正仿宋_GBK" w:cs="方正仿宋_GBK"/>
          <w:b/>
          <w:bCs/>
          <w:snapToGrid w:val="0"/>
          <w:color w:val="auto"/>
          <w:spacing w:val="8"/>
          <w:kern w:val="0"/>
          <w:sz w:val="31"/>
          <w:szCs w:val="31"/>
          <w:lang w:val="en-US" w:eastAsia="zh-CN" w:bidi="ar-SA"/>
        </w:rPr>
        <w:t>3.卫生健康支出（类）行政事业单位医疗（款）行政单位医疗（项）。</w:t>
      </w:r>
      <w:r>
        <w:rPr>
          <w:rFonts w:hint="default" w:ascii="方正仿宋_GBK" w:hAnsi="方正仿宋_GBK" w:eastAsia="方正仿宋_GBK" w:cs="方正仿宋_GBK"/>
          <w:snapToGrid w:val="0"/>
          <w:color w:val="auto"/>
          <w:spacing w:val="3"/>
          <w:kern w:val="0"/>
          <w:sz w:val="31"/>
          <w:szCs w:val="31"/>
          <w:lang w:val="en-US" w:eastAsia="zh-CN" w:bidi="ar-SA"/>
        </w:rPr>
        <w:t>年初预算为</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万元，支出决算为</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万元，完成年初预算的</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w:t>
      </w:r>
    </w:p>
    <w:p>
      <w:pPr>
        <w:keepNext w:val="0"/>
        <w:keepLines w:val="0"/>
        <w:pageBreakBefore w:val="0"/>
        <w:widowControl/>
        <w:kinsoku/>
        <w:wordWrap/>
        <w:overflowPunct/>
        <w:topLinePunct w:val="0"/>
        <w:autoSpaceDE w:val="0"/>
        <w:autoSpaceDN w:val="0"/>
        <w:bidi w:val="0"/>
        <w:adjustRightInd w:val="0"/>
        <w:snapToGrid w:val="0"/>
        <w:spacing w:line="550" w:lineRule="exact"/>
        <w:ind w:left="0" w:right="0" w:firstLine="654" w:firstLineChars="200"/>
        <w:jc w:val="both"/>
        <w:textAlignment w:val="baseline"/>
        <w:rPr>
          <w:rFonts w:hint="default" w:ascii="方正仿宋_GBK" w:hAnsi="方正仿宋_GBK" w:eastAsia="方正仿宋_GBK" w:cs="方正仿宋_GBK"/>
          <w:snapToGrid w:val="0"/>
          <w:color w:val="auto"/>
          <w:spacing w:val="3"/>
          <w:kern w:val="0"/>
          <w:sz w:val="31"/>
          <w:szCs w:val="31"/>
          <w:lang w:val="en-US" w:eastAsia="zh-CN" w:bidi="ar-SA"/>
        </w:rPr>
      </w:pPr>
      <w:r>
        <w:rPr>
          <w:rFonts w:hint="default" w:ascii="方正仿宋_GBK" w:hAnsi="方正仿宋_GBK" w:eastAsia="方正仿宋_GBK" w:cs="方正仿宋_GBK"/>
          <w:b/>
          <w:bCs/>
          <w:snapToGrid w:val="0"/>
          <w:color w:val="auto"/>
          <w:spacing w:val="8"/>
          <w:kern w:val="0"/>
          <w:sz w:val="31"/>
          <w:szCs w:val="31"/>
          <w:lang w:val="en-US" w:eastAsia="zh-CN" w:bidi="ar-SA"/>
        </w:rPr>
        <w:t>4.卫生健康支出（类）行政事业单位医疗（款）其他行政事业单位医疗支出（项）。</w:t>
      </w:r>
      <w:r>
        <w:rPr>
          <w:rFonts w:hint="default" w:ascii="方正仿宋_GBK" w:hAnsi="方正仿宋_GBK" w:eastAsia="方正仿宋_GBK" w:cs="方正仿宋_GBK"/>
          <w:snapToGrid w:val="0"/>
          <w:color w:val="auto"/>
          <w:spacing w:val="3"/>
          <w:kern w:val="0"/>
          <w:sz w:val="31"/>
          <w:szCs w:val="31"/>
          <w:lang w:val="en-US" w:eastAsia="zh-CN" w:bidi="ar-SA"/>
        </w:rPr>
        <w:t>年初预算为</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万元，支出决算为</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万元，完成年初预算的</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w:t>
      </w:r>
    </w:p>
    <w:p>
      <w:pPr>
        <w:keepNext w:val="0"/>
        <w:keepLines w:val="0"/>
        <w:pageBreakBefore w:val="0"/>
        <w:widowControl/>
        <w:kinsoku/>
        <w:wordWrap/>
        <w:overflowPunct/>
        <w:topLinePunct w:val="0"/>
        <w:autoSpaceDE w:val="0"/>
        <w:autoSpaceDN w:val="0"/>
        <w:bidi w:val="0"/>
        <w:adjustRightInd w:val="0"/>
        <w:snapToGrid w:val="0"/>
        <w:spacing w:line="550" w:lineRule="exact"/>
        <w:ind w:left="0" w:right="0" w:firstLine="654" w:firstLineChars="200"/>
        <w:jc w:val="both"/>
        <w:textAlignment w:val="baseline"/>
        <w:rPr>
          <w:rFonts w:hint="default" w:ascii="方正仿宋_GBK" w:hAnsi="方正仿宋_GBK" w:eastAsia="方正仿宋_GBK" w:cs="方正仿宋_GBK"/>
          <w:snapToGrid w:val="0"/>
          <w:color w:val="auto"/>
          <w:spacing w:val="3"/>
          <w:kern w:val="0"/>
          <w:sz w:val="31"/>
          <w:szCs w:val="31"/>
          <w:lang w:val="en-US" w:eastAsia="zh-CN" w:bidi="ar-SA"/>
        </w:rPr>
      </w:pPr>
      <w:r>
        <w:rPr>
          <w:rFonts w:hint="default" w:ascii="方正仿宋_GBK" w:hAnsi="方正仿宋_GBK" w:eastAsia="方正仿宋_GBK" w:cs="方正仿宋_GBK"/>
          <w:b/>
          <w:bCs/>
          <w:snapToGrid w:val="0"/>
          <w:color w:val="auto"/>
          <w:spacing w:val="8"/>
          <w:kern w:val="0"/>
          <w:sz w:val="31"/>
          <w:szCs w:val="31"/>
          <w:lang w:val="en-US" w:eastAsia="zh-CN" w:bidi="ar-SA"/>
        </w:rPr>
        <w:t>5.住房保障支出（类）住房改革支出（款）住房公积金（项）。</w:t>
      </w:r>
      <w:r>
        <w:rPr>
          <w:rFonts w:hint="default" w:ascii="方正仿宋_GBK" w:hAnsi="方正仿宋_GBK" w:eastAsia="方正仿宋_GBK" w:cs="方正仿宋_GBK"/>
          <w:snapToGrid w:val="0"/>
          <w:color w:val="auto"/>
          <w:spacing w:val="3"/>
          <w:kern w:val="0"/>
          <w:sz w:val="31"/>
          <w:szCs w:val="31"/>
          <w:lang w:val="en-US" w:eastAsia="zh-CN" w:bidi="ar-SA"/>
        </w:rPr>
        <w:t>年初预算为</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万元，支出决算为</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万元，完成年初预算的</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w:t>
      </w:r>
    </w:p>
    <w:p>
      <w:pPr>
        <w:keepNext w:val="0"/>
        <w:keepLines w:val="0"/>
        <w:pageBreakBefore w:val="0"/>
        <w:widowControl/>
        <w:kinsoku/>
        <w:wordWrap/>
        <w:overflowPunct/>
        <w:topLinePunct w:val="0"/>
        <w:autoSpaceDE w:val="0"/>
        <w:autoSpaceDN w:val="0"/>
        <w:bidi w:val="0"/>
        <w:adjustRightInd w:val="0"/>
        <w:snapToGrid w:val="0"/>
        <w:spacing w:line="550" w:lineRule="exact"/>
        <w:ind w:left="0" w:right="0" w:firstLine="654" w:firstLineChars="200"/>
        <w:jc w:val="both"/>
        <w:textAlignment w:val="baseline"/>
        <w:rPr>
          <w:rFonts w:hint="default" w:ascii="方正仿宋_GBK" w:hAnsi="方正仿宋_GBK" w:eastAsia="方正仿宋_GBK" w:cs="方正仿宋_GBK"/>
          <w:snapToGrid w:val="0"/>
          <w:color w:val="auto"/>
          <w:spacing w:val="3"/>
          <w:kern w:val="0"/>
          <w:sz w:val="31"/>
          <w:szCs w:val="31"/>
          <w:lang w:val="en-US" w:eastAsia="zh-CN" w:bidi="ar-SA"/>
        </w:rPr>
      </w:pPr>
      <w:r>
        <w:rPr>
          <w:rFonts w:hint="eastAsia" w:ascii="方正仿宋_GBK" w:hAnsi="方正仿宋_GBK" w:eastAsia="方正仿宋_GBK" w:cs="方正仿宋_GBK"/>
          <w:b/>
          <w:bCs/>
          <w:snapToGrid w:val="0"/>
          <w:color w:val="auto"/>
          <w:spacing w:val="8"/>
          <w:kern w:val="0"/>
          <w:sz w:val="31"/>
          <w:szCs w:val="31"/>
          <w:lang w:val="en-US" w:eastAsia="zh-CN" w:bidi="ar-SA"/>
        </w:rPr>
        <w:t>6</w:t>
      </w:r>
      <w:r>
        <w:rPr>
          <w:rFonts w:hint="default" w:ascii="方正仿宋_GBK" w:hAnsi="方正仿宋_GBK" w:eastAsia="方正仿宋_GBK" w:cs="方正仿宋_GBK"/>
          <w:b/>
          <w:bCs/>
          <w:snapToGrid w:val="0"/>
          <w:color w:val="auto"/>
          <w:spacing w:val="8"/>
          <w:kern w:val="0"/>
          <w:sz w:val="31"/>
          <w:szCs w:val="31"/>
          <w:lang w:val="en-US" w:eastAsia="zh-CN" w:bidi="ar-SA"/>
        </w:rPr>
        <w:t>.灾害防治及应急管理支出（类）消防救援事务（款）行政运行（项）。</w:t>
      </w:r>
      <w:r>
        <w:rPr>
          <w:rFonts w:hint="default" w:ascii="方正仿宋_GBK" w:hAnsi="方正仿宋_GBK" w:eastAsia="方正仿宋_GBK" w:cs="方正仿宋_GBK"/>
          <w:snapToGrid w:val="0"/>
          <w:color w:val="auto"/>
          <w:spacing w:val="3"/>
          <w:kern w:val="0"/>
          <w:sz w:val="31"/>
          <w:szCs w:val="31"/>
          <w:lang w:val="en-US" w:eastAsia="zh-CN" w:bidi="ar-SA"/>
        </w:rPr>
        <w:t>年初预算为</w:t>
      </w:r>
      <w:r>
        <w:rPr>
          <w:rFonts w:hint="eastAsia" w:ascii="方正仿宋_GBK" w:hAnsi="方正仿宋_GBK" w:eastAsia="方正仿宋_GBK" w:cs="方正仿宋_GBK"/>
          <w:snapToGrid w:val="0"/>
          <w:color w:val="auto"/>
          <w:spacing w:val="3"/>
          <w:kern w:val="0"/>
          <w:sz w:val="31"/>
          <w:szCs w:val="31"/>
          <w:lang w:val="en-US" w:eastAsia="zh-CN" w:bidi="ar-SA"/>
        </w:rPr>
        <w:t>38.23</w:t>
      </w:r>
      <w:r>
        <w:rPr>
          <w:rFonts w:hint="default" w:ascii="方正仿宋_GBK" w:hAnsi="方正仿宋_GBK" w:eastAsia="方正仿宋_GBK" w:cs="方正仿宋_GBK"/>
          <w:snapToGrid w:val="0"/>
          <w:color w:val="auto"/>
          <w:spacing w:val="3"/>
          <w:kern w:val="0"/>
          <w:sz w:val="31"/>
          <w:szCs w:val="31"/>
          <w:lang w:val="en-US" w:eastAsia="zh-CN" w:bidi="ar-SA"/>
        </w:rPr>
        <w:t>万元，支出决算为</w:t>
      </w:r>
      <w:r>
        <w:rPr>
          <w:rFonts w:hint="eastAsia" w:ascii="方正仿宋_GBK" w:hAnsi="方正仿宋_GBK" w:eastAsia="方正仿宋_GBK" w:cs="方正仿宋_GBK"/>
          <w:snapToGrid w:val="0"/>
          <w:color w:val="auto"/>
          <w:spacing w:val="3"/>
          <w:kern w:val="0"/>
          <w:sz w:val="31"/>
          <w:szCs w:val="31"/>
          <w:lang w:val="en-US" w:eastAsia="zh-CN" w:bidi="ar-SA"/>
        </w:rPr>
        <w:t>38.23</w:t>
      </w:r>
      <w:r>
        <w:rPr>
          <w:rFonts w:hint="default" w:ascii="方正仿宋_GBK" w:hAnsi="方正仿宋_GBK" w:eastAsia="方正仿宋_GBK" w:cs="方正仿宋_GBK"/>
          <w:snapToGrid w:val="0"/>
          <w:color w:val="auto"/>
          <w:spacing w:val="3"/>
          <w:kern w:val="0"/>
          <w:sz w:val="31"/>
          <w:szCs w:val="31"/>
          <w:lang w:val="en-US" w:eastAsia="zh-CN" w:bidi="ar-SA"/>
        </w:rPr>
        <w:t>万元，完成年初预算的</w:t>
      </w:r>
      <w:r>
        <w:rPr>
          <w:rFonts w:hint="eastAsia" w:ascii="方正仿宋_GBK" w:hAnsi="方正仿宋_GBK" w:eastAsia="方正仿宋_GBK" w:cs="方正仿宋_GBK"/>
          <w:snapToGrid w:val="0"/>
          <w:color w:val="auto"/>
          <w:spacing w:val="3"/>
          <w:kern w:val="0"/>
          <w:sz w:val="31"/>
          <w:szCs w:val="31"/>
          <w:lang w:val="en-US" w:eastAsia="zh-CN" w:bidi="ar-SA"/>
        </w:rPr>
        <w:t>100</w:t>
      </w:r>
      <w:r>
        <w:rPr>
          <w:rFonts w:hint="default" w:ascii="方正仿宋_GBK" w:hAnsi="方正仿宋_GBK" w:eastAsia="方正仿宋_GBK" w:cs="方正仿宋_GBK"/>
          <w:snapToGrid w:val="0"/>
          <w:color w:val="auto"/>
          <w:spacing w:val="3"/>
          <w:kern w:val="0"/>
          <w:sz w:val="31"/>
          <w:szCs w:val="31"/>
          <w:lang w:val="en-US" w:eastAsia="zh-CN" w:bidi="ar-SA"/>
        </w:rPr>
        <w:t>%。</w:t>
      </w:r>
    </w:p>
    <w:p>
      <w:pPr>
        <w:keepNext w:val="0"/>
        <w:keepLines w:val="0"/>
        <w:pageBreakBefore w:val="0"/>
        <w:widowControl/>
        <w:kinsoku/>
        <w:wordWrap/>
        <w:overflowPunct/>
        <w:topLinePunct w:val="0"/>
        <w:autoSpaceDE w:val="0"/>
        <w:autoSpaceDN w:val="0"/>
        <w:bidi w:val="0"/>
        <w:adjustRightInd w:val="0"/>
        <w:snapToGrid w:val="0"/>
        <w:spacing w:line="550" w:lineRule="exact"/>
        <w:ind w:left="0" w:right="0" w:firstLine="654" w:firstLineChars="200"/>
        <w:jc w:val="both"/>
        <w:textAlignment w:val="baseline"/>
        <w:rPr>
          <w:rFonts w:hint="default" w:ascii="Times New Roman" w:hAnsi="Times New Roman" w:eastAsia="方正仿宋_GBK" w:cs="Times New Roman"/>
          <w:b w:val="0"/>
          <w:bCs w:val="0"/>
          <w:color w:val="auto"/>
          <w:spacing w:val="6"/>
          <w:sz w:val="32"/>
          <w:szCs w:val="32"/>
          <w:highlight w:val="none"/>
          <w:lang w:val="en-US" w:eastAsia="zh-CN"/>
        </w:rPr>
      </w:pPr>
      <w:r>
        <w:rPr>
          <w:rFonts w:hint="eastAsia" w:ascii="方正仿宋_GBK" w:hAnsi="方正仿宋_GBK" w:eastAsia="方正仿宋_GBK" w:cs="方正仿宋_GBK"/>
          <w:b/>
          <w:bCs/>
          <w:snapToGrid w:val="0"/>
          <w:color w:val="auto"/>
          <w:spacing w:val="8"/>
          <w:kern w:val="0"/>
          <w:sz w:val="31"/>
          <w:szCs w:val="31"/>
          <w:lang w:val="en-US" w:eastAsia="zh-CN" w:bidi="ar-SA"/>
        </w:rPr>
        <w:t>7</w:t>
      </w:r>
      <w:r>
        <w:rPr>
          <w:rFonts w:hint="default" w:ascii="方正仿宋_GBK" w:hAnsi="方正仿宋_GBK" w:eastAsia="方正仿宋_GBK" w:cs="方正仿宋_GBK"/>
          <w:b/>
          <w:bCs/>
          <w:snapToGrid w:val="0"/>
          <w:color w:val="auto"/>
          <w:spacing w:val="8"/>
          <w:kern w:val="0"/>
          <w:sz w:val="31"/>
          <w:szCs w:val="31"/>
          <w:lang w:val="en-US" w:eastAsia="zh-CN" w:bidi="ar-SA"/>
        </w:rPr>
        <w:t>.灾害防治及应急管理支出（类）消防救援事务（款）消防应急救援（项）。</w:t>
      </w:r>
      <w:r>
        <w:rPr>
          <w:rFonts w:hint="default" w:ascii="方正仿宋_GBK" w:hAnsi="方正仿宋_GBK" w:eastAsia="方正仿宋_GBK" w:cs="方正仿宋_GBK"/>
          <w:snapToGrid w:val="0"/>
          <w:color w:val="auto"/>
          <w:spacing w:val="3"/>
          <w:kern w:val="0"/>
          <w:sz w:val="31"/>
          <w:szCs w:val="31"/>
          <w:lang w:val="en-US" w:eastAsia="zh-CN" w:bidi="ar-SA"/>
        </w:rPr>
        <w:t>年初预算数为</w:t>
      </w:r>
      <w:r>
        <w:rPr>
          <w:rFonts w:hint="eastAsia" w:ascii="方正仿宋_GBK" w:hAnsi="方正仿宋_GBK" w:eastAsia="方正仿宋_GBK" w:cs="方正仿宋_GBK"/>
          <w:snapToGrid w:val="0"/>
          <w:color w:val="auto"/>
          <w:spacing w:val="3"/>
          <w:kern w:val="0"/>
          <w:sz w:val="31"/>
          <w:szCs w:val="31"/>
          <w:lang w:val="en-US" w:eastAsia="zh-CN" w:bidi="ar-SA"/>
        </w:rPr>
        <w:t>45.01</w:t>
      </w:r>
      <w:r>
        <w:rPr>
          <w:rFonts w:hint="default" w:ascii="方正仿宋_GBK" w:hAnsi="方正仿宋_GBK" w:eastAsia="方正仿宋_GBK" w:cs="方正仿宋_GBK"/>
          <w:snapToGrid w:val="0"/>
          <w:color w:val="auto"/>
          <w:spacing w:val="3"/>
          <w:kern w:val="0"/>
          <w:sz w:val="31"/>
          <w:szCs w:val="31"/>
          <w:lang w:val="en-US" w:eastAsia="zh-CN" w:bidi="ar-SA"/>
        </w:rPr>
        <w:t>万元，支出决算为</w:t>
      </w:r>
      <w:r>
        <w:rPr>
          <w:rFonts w:hint="eastAsia" w:ascii="方正仿宋_GBK" w:hAnsi="方正仿宋_GBK" w:eastAsia="方正仿宋_GBK" w:cs="方正仿宋_GBK"/>
          <w:snapToGrid w:val="0"/>
          <w:color w:val="auto"/>
          <w:spacing w:val="3"/>
          <w:kern w:val="0"/>
          <w:sz w:val="31"/>
          <w:szCs w:val="31"/>
          <w:lang w:val="en-US" w:eastAsia="zh-CN" w:bidi="ar-SA"/>
        </w:rPr>
        <w:t>45.01</w:t>
      </w:r>
      <w:r>
        <w:rPr>
          <w:rFonts w:hint="default" w:ascii="方正仿宋_GBK" w:hAnsi="方正仿宋_GBK" w:eastAsia="方正仿宋_GBK" w:cs="方正仿宋_GBK"/>
          <w:snapToGrid w:val="0"/>
          <w:color w:val="auto"/>
          <w:spacing w:val="3"/>
          <w:kern w:val="0"/>
          <w:sz w:val="31"/>
          <w:szCs w:val="31"/>
          <w:lang w:val="en-US" w:eastAsia="zh-CN" w:bidi="ar-SA"/>
        </w:rPr>
        <w:t>万元，完成年初预算数的</w:t>
      </w:r>
      <w:r>
        <w:rPr>
          <w:rFonts w:hint="eastAsia" w:ascii="方正仿宋_GBK" w:hAnsi="方正仿宋_GBK" w:eastAsia="方正仿宋_GBK" w:cs="方正仿宋_GBK"/>
          <w:snapToGrid w:val="0"/>
          <w:color w:val="auto"/>
          <w:spacing w:val="3"/>
          <w:kern w:val="0"/>
          <w:sz w:val="31"/>
          <w:szCs w:val="31"/>
          <w:lang w:val="en-US" w:eastAsia="zh-CN" w:bidi="ar-SA"/>
        </w:rPr>
        <w:t>100</w:t>
      </w:r>
      <w:r>
        <w:rPr>
          <w:rFonts w:hint="default" w:ascii="方正仿宋_GBK" w:hAnsi="方正仿宋_GBK" w:eastAsia="方正仿宋_GBK" w:cs="方正仿宋_GBK"/>
          <w:snapToGrid w:val="0"/>
          <w:color w:val="auto"/>
          <w:spacing w:val="3"/>
          <w:kern w:val="0"/>
          <w:sz w:val="31"/>
          <w:szCs w:val="31"/>
          <w:lang w:val="en-US" w:eastAsia="zh-CN" w:bidi="ar-SA"/>
        </w:rPr>
        <w:t>%。</w:t>
      </w:r>
    </w:p>
    <w:p>
      <w:pPr>
        <w:keepNext w:val="0"/>
        <w:keepLines w:val="0"/>
        <w:pageBreakBefore w:val="0"/>
        <w:widowControl/>
        <w:kinsoku/>
        <w:wordWrap/>
        <w:overflowPunct/>
        <w:topLinePunct w:val="0"/>
        <w:autoSpaceDE w:val="0"/>
        <w:autoSpaceDN w:val="0"/>
        <w:bidi w:val="0"/>
        <w:adjustRightInd w:val="0"/>
        <w:snapToGrid w:val="0"/>
        <w:spacing w:line="550" w:lineRule="exact"/>
        <w:ind w:left="0" w:right="0" w:firstLine="654" w:firstLineChars="200"/>
        <w:jc w:val="both"/>
        <w:textAlignment w:val="baseline"/>
        <w:rPr>
          <w:rFonts w:hint="default" w:ascii="方正仿宋_GBK" w:hAnsi="方正仿宋_GBK" w:eastAsia="方正仿宋_GBK" w:cs="方正仿宋_GBK"/>
          <w:snapToGrid w:val="0"/>
          <w:color w:val="auto"/>
          <w:spacing w:val="3"/>
          <w:kern w:val="0"/>
          <w:sz w:val="31"/>
          <w:szCs w:val="31"/>
          <w:lang w:val="en-US" w:eastAsia="zh-CN" w:bidi="ar-SA"/>
        </w:rPr>
      </w:pPr>
      <w:r>
        <w:rPr>
          <w:rFonts w:hint="eastAsia" w:ascii="方正仿宋_GBK" w:hAnsi="方正仿宋_GBK" w:eastAsia="方正仿宋_GBK" w:cs="方正仿宋_GBK"/>
          <w:b/>
          <w:bCs/>
          <w:snapToGrid w:val="0"/>
          <w:color w:val="auto"/>
          <w:spacing w:val="8"/>
          <w:kern w:val="0"/>
          <w:sz w:val="31"/>
          <w:szCs w:val="31"/>
          <w:lang w:val="en-US" w:eastAsia="zh-CN" w:bidi="ar-SA"/>
        </w:rPr>
        <w:t>8</w:t>
      </w:r>
      <w:r>
        <w:rPr>
          <w:rFonts w:hint="default" w:ascii="方正仿宋_GBK" w:hAnsi="方正仿宋_GBK" w:eastAsia="方正仿宋_GBK" w:cs="方正仿宋_GBK"/>
          <w:b/>
          <w:bCs/>
          <w:snapToGrid w:val="0"/>
          <w:color w:val="auto"/>
          <w:spacing w:val="8"/>
          <w:kern w:val="0"/>
          <w:sz w:val="31"/>
          <w:szCs w:val="31"/>
          <w:lang w:val="en-US" w:eastAsia="zh-CN" w:bidi="ar-SA"/>
        </w:rPr>
        <w:t>.灾害防治及应急管理支出（类）消防救援事务（款）其他消防救援事务支出（项）。</w:t>
      </w:r>
      <w:r>
        <w:rPr>
          <w:rFonts w:hint="default" w:ascii="方正仿宋_GBK" w:hAnsi="方正仿宋_GBK" w:eastAsia="方正仿宋_GBK" w:cs="方正仿宋_GBK"/>
          <w:snapToGrid w:val="0"/>
          <w:color w:val="auto"/>
          <w:spacing w:val="3"/>
          <w:kern w:val="0"/>
          <w:sz w:val="31"/>
          <w:szCs w:val="31"/>
          <w:lang w:val="en-US" w:eastAsia="zh-CN" w:bidi="ar-SA"/>
        </w:rPr>
        <w:t>年初预算为</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万元，支出决算为</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万元，完成年初预算的</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w:t>
      </w:r>
    </w:p>
    <w:p>
      <w:pPr>
        <w:keepNext w:val="0"/>
        <w:keepLines w:val="0"/>
        <w:pageBreakBefore w:val="0"/>
        <w:widowControl/>
        <w:kinsoku/>
        <w:wordWrap/>
        <w:overflowPunct/>
        <w:topLinePunct w:val="0"/>
        <w:autoSpaceDE w:val="0"/>
        <w:autoSpaceDN w:val="0"/>
        <w:bidi w:val="0"/>
        <w:adjustRightInd w:val="0"/>
        <w:snapToGrid w:val="0"/>
        <w:spacing w:line="600" w:lineRule="exact"/>
        <w:ind w:left="644"/>
        <w:textAlignment w:val="baseline"/>
        <w:outlineLvl w:val="0"/>
        <w:rPr>
          <w:rFonts w:hint="default" w:ascii="Times New Roman" w:hAnsi="Times New Roman" w:eastAsia="方正黑体_GBK" w:cs="Times New Roman"/>
          <w:color w:val="auto"/>
          <w:sz w:val="32"/>
          <w:szCs w:val="32"/>
          <w:highlight w:val="none"/>
        </w:rPr>
      </w:pPr>
      <w:bookmarkStart w:id="28" w:name="bookmark21"/>
      <w:bookmarkEnd w:id="28"/>
      <w:bookmarkStart w:id="29" w:name="_Toc1951277322"/>
      <w:r>
        <w:rPr>
          <w:rFonts w:hint="default" w:ascii="Times New Roman" w:hAnsi="Times New Roman" w:eastAsia="方正黑体_GBK" w:cs="Times New Roman"/>
          <w:color w:val="auto"/>
          <w:spacing w:val="7"/>
          <w:sz w:val="32"/>
          <w:szCs w:val="32"/>
          <w:highlight w:val="none"/>
        </w:rPr>
        <w:t>六、一般公共预算财政拨款基本支出决算情况说明</w:t>
      </w:r>
      <w:bookmarkEnd w:id="29"/>
    </w:p>
    <w:p>
      <w:pPr>
        <w:keepNext w:val="0"/>
        <w:keepLines w:val="0"/>
        <w:pageBreakBefore w:val="0"/>
        <w:widowControl/>
        <w:kinsoku/>
        <w:wordWrap/>
        <w:overflowPunct/>
        <w:topLinePunct w:val="0"/>
        <w:autoSpaceDE w:val="0"/>
        <w:autoSpaceDN w:val="0"/>
        <w:bidi w:val="0"/>
        <w:adjustRightInd w:val="0"/>
        <w:snapToGrid w:val="0"/>
        <w:spacing w:line="550" w:lineRule="exact"/>
        <w:ind w:left="0" w:right="0" w:firstLine="632" w:firstLineChars="200"/>
        <w:jc w:val="both"/>
        <w:textAlignment w:val="baseline"/>
        <w:rPr>
          <w:rFonts w:hint="default" w:ascii="方正仿宋_GBK" w:hAnsi="方正仿宋_GBK" w:eastAsia="方正仿宋_GBK" w:cs="方正仿宋_GBK"/>
          <w:snapToGrid w:val="0"/>
          <w:color w:val="auto"/>
          <w:spacing w:val="3"/>
          <w:kern w:val="0"/>
          <w:sz w:val="31"/>
          <w:szCs w:val="31"/>
          <w:lang w:val="en-US" w:eastAsia="zh-CN" w:bidi="ar-SA"/>
        </w:rPr>
      </w:pPr>
      <w:r>
        <w:rPr>
          <w:rFonts w:hint="default" w:ascii="方正仿宋_GBK" w:hAnsi="方正仿宋_GBK" w:eastAsia="方正仿宋_GBK" w:cs="方正仿宋_GBK"/>
          <w:snapToGrid w:val="0"/>
          <w:color w:val="auto"/>
          <w:spacing w:val="3"/>
          <w:kern w:val="0"/>
          <w:sz w:val="31"/>
          <w:szCs w:val="31"/>
          <w:lang w:val="en-US" w:eastAsia="zh-CN" w:bidi="ar-SA"/>
        </w:rPr>
        <w:t>2025年度一般公共预算财政拨款基本支出</w:t>
      </w:r>
      <w:r>
        <w:rPr>
          <w:rFonts w:hint="eastAsia" w:ascii="方正仿宋_GBK" w:hAnsi="方正仿宋_GBK" w:eastAsia="方正仿宋_GBK" w:cs="方正仿宋_GBK"/>
          <w:snapToGrid w:val="0"/>
          <w:color w:val="auto"/>
          <w:spacing w:val="3"/>
          <w:kern w:val="0"/>
          <w:sz w:val="31"/>
          <w:szCs w:val="31"/>
          <w:lang w:val="en-US" w:eastAsia="zh-CN" w:bidi="ar-SA"/>
        </w:rPr>
        <w:t>38.23</w:t>
      </w:r>
      <w:r>
        <w:rPr>
          <w:rFonts w:hint="default" w:ascii="方正仿宋_GBK" w:hAnsi="方正仿宋_GBK" w:eastAsia="方正仿宋_GBK" w:cs="方正仿宋_GBK"/>
          <w:snapToGrid w:val="0"/>
          <w:color w:val="auto"/>
          <w:spacing w:val="3"/>
          <w:kern w:val="0"/>
          <w:sz w:val="31"/>
          <w:szCs w:val="31"/>
          <w:lang w:val="en-US" w:eastAsia="zh-CN" w:bidi="ar-SA"/>
        </w:rPr>
        <w:t>万元，其中：人员经费</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万元</w:t>
      </w:r>
      <w:r>
        <w:rPr>
          <w:rFonts w:hint="eastAsia" w:ascii="方正仿宋_GBK" w:hAnsi="方正仿宋_GBK" w:eastAsia="方正仿宋_GBK" w:cs="方正仿宋_GBK"/>
          <w:snapToGrid w:val="0"/>
          <w:color w:val="auto"/>
          <w:spacing w:val="3"/>
          <w:kern w:val="0"/>
          <w:sz w:val="31"/>
          <w:szCs w:val="31"/>
          <w:lang w:val="en-US" w:eastAsia="zh-CN" w:bidi="ar-SA"/>
        </w:rPr>
        <w:t>；</w:t>
      </w:r>
      <w:r>
        <w:rPr>
          <w:rFonts w:hint="default" w:ascii="方正仿宋_GBK" w:hAnsi="方正仿宋_GBK" w:eastAsia="方正仿宋_GBK" w:cs="方正仿宋_GBK"/>
          <w:snapToGrid w:val="0"/>
          <w:color w:val="auto"/>
          <w:spacing w:val="3"/>
          <w:kern w:val="0"/>
          <w:sz w:val="31"/>
          <w:szCs w:val="31"/>
          <w:lang w:val="en-US" w:eastAsia="zh-CN" w:bidi="ar-SA"/>
        </w:rPr>
        <w:t>公用经费</w:t>
      </w:r>
      <w:r>
        <w:rPr>
          <w:rFonts w:hint="eastAsia" w:ascii="方正仿宋_GBK" w:hAnsi="方正仿宋_GBK" w:eastAsia="方正仿宋_GBK" w:cs="方正仿宋_GBK"/>
          <w:snapToGrid w:val="0"/>
          <w:color w:val="auto"/>
          <w:spacing w:val="3"/>
          <w:kern w:val="0"/>
          <w:sz w:val="31"/>
          <w:szCs w:val="31"/>
          <w:lang w:val="en-US" w:eastAsia="zh-CN" w:bidi="ar-SA"/>
        </w:rPr>
        <w:t>38.23</w:t>
      </w:r>
      <w:r>
        <w:rPr>
          <w:rFonts w:hint="default" w:ascii="方正仿宋_GBK" w:hAnsi="方正仿宋_GBK" w:eastAsia="方正仿宋_GBK" w:cs="方正仿宋_GBK"/>
          <w:snapToGrid w:val="0"/>
          <w:color w:val="auto"/>
          <w:spacing w:val="3"/>
          <w:kern w:val="0"/>
          <w:sz w:val="31"/>
          <w:szCs w:val="31"/>
          <w:lang w:val="en-US" w:eastAsia="zh-CN" w:bidi="ar-SA"/>
        </w:rPr>
        <w:t>万元，主要包括办公费、印刷费、水费、电费、邮电费、取暖费、物业管理费、差旅费、因公出国（境）费用、维修（护）费、租赁费、公务接待费、专用材料费、专用燃料费、劳务费、委托业务费、工会经费、公务用车运行维护费</w:t>
      </w:r>
      <w:r>
        <w:rPr>
          <w:rFonts w:hint="eastAsia" w:ascii="方正仿宋_GBK" w:hAnsi="方正仿宋_GBK" w:eastAsia="方正仿宋_GBK" w:cs="方正仿宋_GBK"/>
          <w:snapToGrid w:val="0"/>
          <w:color w:val="auto"/>
          <w:spacing w:val="3"/>
          <w:kern w:val="0"/>
          <w:sz w:val="31"/>
          <w:szCs w:val="31"/>
          <w:lang w:val="en-US" w:eastAsia="zh-CN" w:bidi="ar-SA"/>
        </w:rPr>
        <w:t>、</w:t>
      </w:r>
      <w:r>
        <w:rPr>
          <w:rFonts w:hint="default" w:ascii="方正仿宋_GBK" w:hAnsi="方正仿宋_GBK" w:eastAsia="方正仿宋_GBK" w:cs="方正仿宋_GBK"/>
          <w:snapToGrid w:val="0"/>
          <w:color w:val="auto"/>
          <w:spacing w:val="3"/>
          <w:kern w:val="0"/>
          <w:sz w:val="31"/>
          <w:szCs w:val="31"/>
          <w:lang w:val="en-US" w:eastAsia="zh-CN" w:bidi="ar-SA"/>
        </w:rPr>
        <w:t>其他商品和服务支出、办公设备购置、专用设备购置。</w:t>
      </w:r>
    </w:p>
    <w:p>
      <w:pPr>
        <w:keepNext w:val="0"/>
        <w:keepLines w:val="0"/>
        <w:pageBreakBefore w:val="0"/>
        <w:widowControl/>
        <w:kinsoku/>
        <w:wordWrap/>
        <w:overflowPunct/>
        <w:topLinePunct w:val="0"/>
        <w:autoSpaceDE w:val="0"/>
        <w:autoSpaceDN w:val="0"/>
        <w:bidi w:val="0"/>
        <w:adjustRightInd w:val="0"/>
        <w:snapToGrid w:val="0"/>
        <w:spacing w:line="600" w:lineRule="exact"/>
        <w:ind w:left="649"/>
        <w:textAlignment w:val="baseline"/>
        <w:outlineLvl w:val="0"/>
        <w:rPr>
          <w:rFonts w:hint="default" w:ascii="Times New Roman" w:hAnsi="Times New Roman" w:eastAsia="方正黑体_GBK" w:cs="Times New Roman"/>
          <w:color w:val="auto"/>
          <w:sz w:val="32"/>
          <w:szCs w:val="32"/>
          <w:highlight w:val="none"/>
        </w:rPr>
      </w:pPr>
      <w:bookmarkStart w:id="30" w:name="bookmark22"/>
      <w:bookmarkEnd w:id="30"/>
      <w:bookmarkStart w:id="31" w:name="_Toc660977863"/>
      <w:r>
        <w:rPr>
          <w:rFonts w:hint="default" w:ascii="Times New Roman" w:hAnsi="Times New Roman" w:eastAsia="方正黑体_GBK" w:cs="Times New Roman"/>
          <w:color w:val="auto"/>
          <w:spacing w:val="7"/>
          <w:sz w:val="32"/>
          <w:szCs w:val="32"/>
          <w:highlight w:val="none"/>
        </w:rPr>
        <w:t>七、财政拨款</w:t>
      </w:r>
      <w:r>
        <w:rPr>
          <w:rFonts w:hint="eastAsia" w:ascii="Times New Roman" w:hAnsi="Times New Roman" w:eastAsia="方正黑体_GBK" w:cs="Times New Roman"/>
          <w:color w:val="auto"/>
          <w:spacing w:val="-42"/>
          <w:sz w:val="32"/>
          <w:szCs w:val="32"/>
          <w:highlight w:val="none"/>
          <w:lang w:eastAsia="zh-CN"/>
        </w:rPr>
        <w:t>“</w:t>
      </w:r>
      <w:r>
        <w:rPr>
          <w:rFonts w:hint="default" w:ascii="Times New Roman" w:hAnsi="Times New Roman" w:eastAsia="方正黑体_GBK" w:cs="Times New Roman"/>
          <w:color w:val="auto"/>
          <w:spacing w:val="-42"/>
          <w:sz w:val="32"/>
          <w:szCs w:val="32"/>
          <w:highlight w:val="none"/>
          <w:lang w:eastAsia="zh-CN"/>
        </w:rPr>
        <w:t>三公”经费</w:t>
      </w:r>
      <w:r>
        <w:rPr>
          <w:rFonts w:hint="default" w:ascii="Times New Roman" w:hAnsi="Times New Roman" w:eastAsia="方正黑体_GBK" w:cs="Times New Roman"/>
          <w:color w:val="auto"/>
          <w:spacing w:val="7"/>
          <w:sz w:val="32"/>
          <w:szCs w:val="32"/>
          <w:highlight w:val="none"/>
        </w:rPr>
        <w:t>支出决算情况说明</w:t>
      </w:r>
      <w:bookmarkEnd w:id="31"/>
    </w:p>
    <w:p>
      <w:pPr>
        <w:keepNext w:val="0"/>
        <w:keepLines w:val="0"/>
        <w:pageBreakBefore w:val="0"/>
        <w:widowControl/>
        <w:kinsoku/>
        <w:wordWrap/>
        <w:overflowPunct/>
        <w:topLinePunct w:val="0"/>
        <w:autoSpaceDE w:val="0"/>
        <w:autoSpaceDN w:val="0"/>
        <w:bidi w:val="0"/>
        <w:adjustRightInd w:val="0"/>
        <w:snapToGrid w:val="0"/>
        <w:spacing w:line="550" w:lineRule="exact"/>
        <w:ind w:firstLine="672" w:firstLineChars="200"/>
        <w:textAlignment w:val="baseline"/>
        <w:outlineLvl w:val="9"/>
        <w:rPr>
          <w:rFonts w:hint="default" w:ascii="Times New Roman" w:hAnsi="Times New Roman" w:eastAsia="方正楷体_GBK" w:cs="Times New Roman"/>
          <w:b w:val="0"/>
          <w:bCs w:val="0"/>
          <w:color w:val="auto"/>
          <w:sz w:val="32"/>
          <w:szCs w:val="32"/>
          <w:highlight w:val="none"/>
        </w:rPr>
      </w:pPr>
      <w:bookmarkStart w:id="32" w:name="_Toc615141055"/>
      <w:r>
        <w:rPr>
          <w:rFonts w:hint="default" w:ascii="Times New Roman" w:hAnsi="Times New Roman" w:eastAsia="方正楷体_GBK" w:cs="Times New Roman"/>
          <w:b w:val="0"/>
          <w:bCs w:val="0"/>
          <w:color w:val="auto"/>
          <w:spacing w:val="8"/>
          <w:sz w:val="32"/>
          <w:szCs w:val="32"/>
          <w:highlight w:val="none"/>
        </w:rPr>
        <w:t>（一）财政拨款</w:t>
      </w:r>
      <w:r>
        <w:rPr>
          <w:rFonts w:hint="eastAsia" w:ascii="Times New Roman" w:hAnsi="Times New Roman" w:eastAsia="宋体" w:cs="Times New Roman"/>
          <w:b w:val="0"/>
          <w:bCs w:val="0"/>
          <w:color w:val="auto"/>
          <w:spacing w:val="8"/>
          <w:sz w:val="32"/>
          <w:szCs w:val="32"/>
          <w:highlight w:val="none"/>
          <w:lang w:eastAsia="zh-CN"/>
        </w:rPr>
        <w:t>“</w:t>
      </w:r>
      <w:r>
        <w:rPr>
          <w:rFonts w:hint="default" w:ascii="Times New Roman" w:hAnsi="Times New Roman" w:eastAsia="方正楷体_GBK" w:cs="Times New Roman"/>
          <w:b w:val="0"/>
          <w:bCs w:val="0"/>
          <w:color w:val="auto"/>
          <w:spacing w:val="8"/>
          <w:sz w:val="32"/>
          <w:szCs w:val="32"/>
          <w:highlight w:val="none"/>
        </w:rPr>
        <w:t>三公</w:t>
      </w:r>
      <w:r>
        <w:rPr>
          <w:rFonts w:hint="default" w:ascii="Times New Roman" w:hAnsi="Times New Roman" w:eastAsia="Times New Roman" w:cs="Times New Roman"/>
          <w:b w:val="0"/>
          <w:bCs w:val="0"/>
          <w:color w:val="auto"/>
          <w:spacing w:val="8"/>
          <w:sz w:val="32"/>
          <w:szCs w:val="32"/>
          <w:highlight w:val="none"/>
        </w:rPr>
        <w:t>”</w:t>
      </w:r>
      <w:r>
        <w:rPr>
          <w:rFonts w:hint="default" w:ascii="Times New Roman" w:hAnsi="Times New Roman" w:eastAsia="方正楷体_GBK" w:cs="Times New Roman"/>
          <w:b w:val="0"/>
          <w:bCs w:val="0"/>
          <w:color w:val="auto"/>
          <w:spacing w:val="8"/>
          <w:sz w:val="32"/>
          <w:szCs w:val="32"/>
          <w:highlight w:val="none"/>
        </w:rPr>
        <w:t>经费支出决算总体情况说明</w:t>
      </w:r>
      <w:bookmarkEnd w:id="32"/>
    </w:p>
    <w:p>
      <w:pPr>
        <w:keepNext w:val="0"/>
        <w:keepLines w:val="0"/>
        <w:pageBreakBefore w:val="0"/>
        <w:widowControl/>
        <w:kinsoku/>
        <w:wordWrap/>
        <w:overflowPunct/>
        <w:topLinePunct w:val="0"/>
        <w:autoSpaceDE w:val="0"/>
        <w:autoSpaceDN w:val="0"/>
        <w:bidi w:val="0"/>
        <w:adjustRightInd w:val="0"/>
        <w:snapToGrid w:val="0"/>
        <w:spacing w:before="6" w:line="550" w:lineRule="exact"/>
        <w:ind w:left="6" w:right="1" w:firstLine="638"/>
        <w:jc w:val="both"/>
        <w:textAlignment w:val="baseline"/>
        <w:outlineLvl w:val="9"/>
        <w:rPr>
          <w:rFonts w:hint="eastAsia" w:ascii="Times New Roman" w:hAnsi="Times New Roman" w:eastAsia="方正仿宋_GBK" w:cs="Times New Roman"/>
          <w:color w:val="auto"/>
          <w:spacing w:val="5"/>
          <w:sz w:val="32"/>
          <w:szCs w:val="32"/>
          <w:highlight w:val="none"/>
          <w:lang w:eastAsia="zh-CN"/>
        </w:rPr>
      </w:pPr>
      <w:r>
        <w:rPr>
          <w:rFonts w:hint="default" w:ascii="方正仿宋_GBK" w:hAnsi="方正仿宋_GBK" w:eastAsia="方正仿宋_GBK" w:cs="方正仿宋_GBK"/>
          <w:snapToGrid w:val="0"/>
          <w:color w:val="auto"/>
          <w:spacing w:val="3"/>
          <w:kern w:val="0"/>
          <w:sz w:val="31"/>
          <w:szCs w:val="31"/>
          <w:lang w:val="en-US" w:eastAsia="zh-CN" w:bidi="ar-SA"/>
        </w:rPr>
        <w:t>2025年度财政拨款</w:t>
      </w:r>
      <w:r>
        <w:rPr>
          <w:rFonts w:hint="eastAsia" w:ascii="方正仿宋_GBK" w:hAnsi="方正仿宋_GBK" w:eastAsia="方正仿宋_GBK" w:cs="方正仿宋_GBK"/>
          <w:snapToGrid w:val="0"/>
          <w:color w:val="auto"/>
          <w:spacing w:val="3"/>
          <w:kern w:val="0"/>
          <w:sz w:val="31"/>
          <w:szCs w:val="31"/>
          <w:lang w:val="en-US" w:eastAsia="zh-CN" w:bidi="ar-SA"/>
        </w:rPr>
        <w:t>“</w:t>
      </w:r>
      <w:r>
        <w:rPr>
          <w:rFonts w:hint="default" w:ascii="方正仿宋_GBK" w:hAnsi="方正仿宋_GBK" w:eastAsia="方正仿宋_GBK" w:cs="方正仿宋_GBK"/>
          <w:snapToGrid w:val="0"/>
          <w:color w:val="auto"/>
          <w:spacing w:val="3"/>
          <w:kern w:val="0"/>
          <w:sz w:val="31"/>
          <w:szCs w:val="31"/>
          <w:lang w:val="en-US" w:eastAsia="zh-CN" w:bidi="ar-SA"/>
        </w:rPr>
        <w:t>三公”经费支出预算为</w:t>
      </w:r>
      <w:r>
        <w:rPr>
          <w:rFonts w:hint="eastAsia" w:ascii="方正仿宋_GBK" w:hAnsi="方正仿宋_GBK" w:eastAsia="方正仿宋_GBK" w:cs="方正仿宋_GBK"/>
          <w:snapToGrid w:val="0"/>
          <w:color w:val="auto"/>
          <w:spacing w:val="3"/>
          <w:kern w:val="0"/>
          <w:sz w:val="31"/>
          <w:szCs w:val="31"/>
          <w:lang w:val="en-US" w:eastAsia="zh-CN" w:bidi="ar-SA"/>
        </w:rPr>
        <w:t>3.91</w:t>
      </w:r>
      <w:r>
        <w:rPr>
          <w:rFonts w:hint="default" w:ascii="方正仿宋_GBK" w:hAnsi="方正仿宋_GBK" w:eastAsia="方正仿宋_GBK" w:cs="方正仿宋_GBK"/>
          <w:snapToGrid w:val="0"/>
          <w:color w:val="auto"/>
          <w:spacing w:val="3"/>
          <w:kern w:val="0"/>
          <w:sz w:val="31"/>
          <w:szCs w:val="31"/>
          <w:lang w:val="en-US" w:eastAsia="zh-CN" w:bidi="ar-SA"/>
        </w:rPr>
        <w:t>万元，决算为</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万元，完成预算的</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%；支出决算较2024年度</w:t>
      </w:r>
      <w:r>
        <w:rPr>
          <w:rFonts w:hint="eastAsia" w:ascii="方正仿宋_GBK" w:hAnsi="方正仿宋_GBK" w:eastAsia="方正仿宋_GBK" w:cs="方正仿宋_GBK"/>
          <w:snapToGrid w:val="0"/>
          <w:color w:val="auto"/>
          <w:spacing w:val="3"/>
          <w:kern w:val="0"/>
          <w:sz w:val="31"/>
          <w:szCs w:val="31"/>
          <w:lang w:val="en-US" w:eastAsia="zh-CN" w:bidi="ar-SA"/>
        </w:rPr>
        <w:t>持平</w:t>
      </w:r>
      <w:r>
        <w:rPr>
          <w:rFonts w:hint="default" w:ascii="方正仿宋_GBK" w:hAnsi="方正仿宋_GBK" w:eastAsia="方正仿宋_GBK" w:cs="方正仿宋_GBK"/>
          <w:snapToGrid w:val="0"/>
          <w:color w:val="auto"/>
          <w:spacing w:val="3"/>
          <w:kern w:val="0"/>
          <w:sz w:val="31"/>
          <w:szCs w:val="31"/>
          <w:lang w:val="en-US" w:eastAsia="zh-CN" w:bidi="ar-SA"/>
        </w:rPr>
        <w:t>。决算数小于预算数的主要原因是落实过紧日子要求，从严控制</w:t>
      </w:r>
      <w:r>
        <w:rPr>
          <w:rFonts w:hint="eastAsia" w:ascii="方正仿宋_GBK" w:hAnsi="方正仿宋_GBK" w:eastAsia="方正仿宋_GBK" w:cs="方正仿宋_GBK"/>
          <w:snapToGrid w:val="0"/>
          <w:color w:val="auto"/>
          <w:spacing w:val="3"/>
          <w:kern w:val="0"/>
          <w:sz w:val="31"/>
          <w:szCs w:val="31"/>
          <w:lang w:val="en-US" w:eastAsia="zh-CN" w:bidi="ar-SA"/>
        </w:rPr>
        <w:t>“</w:t>
      </w:r>
      <w:r>
        <w:rPr>
          <w:rFonts w:hint="default" w:ascii="方正仿宋_GBK" w:hAnsi="方正仿宋_GBK" w:eastAsia="方正仿宋_GBK" w:cs="方正仿宋_GBK"/>
          <w:snapToGrid w:val="0"/>
          <w:color w:val="auto"/>
          <w:spacing w:val="3"/>
          <w:kern w:val="0"/>
          <w:sz w:val="31"/>
          <w:szCs w:val="31"/>
          <w:lang w:val="en-US" w:eastAsia="zh-CN" w:bidi="ar-SA"/>
        </w:rPr>
        <w:t>三公”经费开支。</w:t>
      </w:r>
      <w:r>
        <w:rPr>
          <w:rFonts w:hint="eastAsia" w:ascii="方正仿宋_GBK" w:hAnsi="方正仿宋_GBK" w:eastAsia="方正仿宋_GBK" w:cs="方正仿宋_GBK"/>
          <w:snapToGrid w:val="0"/>
          <w:color w:val="auto"/>
          <w:spacing w:val="3"/>
          <w:kern w:val="0"/>
          <w:sz w:val="31"/>
          <w:szCs w:val="31"/>
          <w:lang w:val="en-US" w:eastAsia="zh-CN" w:bidi="ar-SA"/>
        </w:rPr>
        <w:t>决算数小于上年数的主要原因</w:t>
      </w:r>
      <w:r>
        <w:rPr>
          <w:rFonts w:hint="default" w:ascii="方正仿宋_GBK" w:hAnsi="方正仿宋_GBK" w:eastAsia="方正仿宋_GBK" w:cs="方正仿宋_GBK"/>
          <w:snapToGrid w:val="0"/>
          <w:color w:val="auto"/>
          <w:spacing w:val="3"/>
          <w:kern w:val="0"/>
          <w:sz w:val="31"/>
          <w:szCs w:val="31"/>
          <w:lang w:val="en-US" w:eastAsia="zh-CN" w:bidi="ar-SA"/>
        </w:rPr>
        <w:t>落实过紧日子要求，从严控制</w:t>
      </w:r>
      <w:r>
        <w:rPr>
          <w:rFonts w:hint="eastAsia" w:ascii="方正仿宋_GBK" w:hAnsi="方正仿宋_GBK" w:eastAsia="方正仿宋_GBK" w:cs="方正仿宋_GBK"/>
          <w:snapToGrid w:val="0"/>
          <w:color w:val="auto"/>
          <w:spacing w:val="3"/>
          <w:kern w:val="0"/>
          <w:sz w:val="31"/>
          <w:szCs w:val="31"/>
          <w:lang w:val="en-US" w:eastAsia="zh-CN" w:bidi="ar-SA"/>
        </w:rPr>
        <w:t>“</w:t>
      </w:r>
      <w:r>
        <w:rPr>
          <w:rFonts w:hint="default" w:ascii="方正仿宋_GBK" w:hAnsi="方正仿宋_GBK" w:eastAsia="方正仿宋_GBK" w:cs="方正仿宋_GBK"/>
          <w:snapToGrid w:val="0"/>
          <w:color w:val="auto"/>
          <w:spacing w:val="3"/>
          <w:kern w:val="0"/>
          <w:sz w:val="31"/>
          <w:szCs w:val="31"/>
          <w:lang w:val="en-US" w:eastAsia="zh-CN" w:bidi="ar-SA"/>
        </w:rPr>
        <w:t>三公”经费开支。</w:t>
      </w:r>
    </w:p>
    <w:p>
      <w:pPr>
        <w:keepNext w:val="0"/>
        <w:keepLines w:val="0"/>
        <w:pageBreakBefore w:val="0"/>
        <w:widowControl/>
        <w:kinsoku/>
        <w:wordWrap/>
        <w:overflowPunct/>
        <w:topLinePunct w:val="0"/>
        <w:autoSpaceDE w:val="0"/>
        <w:autoSpaceDN w:val="0"/>
        <w:bidi w:val="0"/>
        <w:adjustRightInd w:val="0"/>
        <w:snapToGrid w:val="0"/>
        <w:spacing w:line="550" w:lineRule="exact"/>
        <w:ind w:left="626"/>
        <w:textAlignment w:val="baseline"/>
        <w:outlineLvl w:val="9"/>
        <w:rPr>
          <w:rFonts w:hint="default" w:ascii="Times New Roman" w:hAnsi="Times New Roman" w:eastAsia="方正楷体_GBK" w:cs="Times New Roman"/>
          <w:b w:val="0"/>
          <w:bCs w:val="0"/>
          <w:color w:val="auto"/>
          <w:sz w:val="32"/>
          <w:szCs w:val="32"/>
          <w:highlight w:val="none"/>
        </w:rPr>
      </w:pPr>
      <w:bookmarkStart w:id="33" w:name="_Toc1467429220"/>
      <w:r>
        <w:rPr>
          <w:rFonts w:hint="default" w:ascii="Times New Roman" w:hAnsi="Times New Roman" w:eastAsia="方正楷体_GBK" w:cs="Times New Roman"/>
          <w:b w:val="0"/>
          <w:bCs w:val="0"/>
          <w:color w:val="auto"/>
          <w:spacing w:val="8"/>
          <w:sz w:val="32"/>
          <w:szCs w:val="32"/>
          <w:highlight w:val="none"/>
        </w:rPr>
        <w:t>（二）财政拨款</w:t>
      </w:r>
      <w:r>
        <w:rPr>
          <w:rFonts w:hint="eastAsia" w:ascii="Times New Roman" w:hAnsi="Times New Roman" w:eastAsia="宋体" w:cs="Times New Roman"/>
          <w:b w:val="0"/>
          <w:bCs w:val="0"/>
          <w:color w:val="auto"/>
          <w:spacing w:val="8"/>
          <w:sz w:val="32"/>
          <w:szCs w:val="32"/>
          <w:highlight w:val="none"/>
          <w:lang w:eastAsia="zh-CN"/>
        </w:rPr>
        <w:t>“</w:t>
      </w:r>
      <w:r>
        <w:rPr>
          <w:rFonts w:hint="default" w:ascii="Times New Roman" w:hAnsi="Times New Roman" w:eastAsia="方正楷体_GBK" w:cs="Times New Roman"/>
          <w:b w:val="0"/>
          <w:bCs w:val="0"/>
          <w:color w:val="auto"/>
          <w:spacing w:val="8"/>
          <w:sz w:val="32"/>
          <w:szCs w:val="32"/>
          <w:highlight w:val="none"/>
        </w:rPr>
        <w:t>三公</w:t>
      </w:r>
      <w:r>
        <w:rPr>
          <w:rFonts w:hint="default" w:ascii="Times New Roman" w:hAnsi="Times New Roman" w:eastAsia="Times New Roman" w:cs="Times New Roman"/>
          <w:b w:val="0"/>
          <w:bCs w:val="0"/>
          <w:color w:val="auto"/>
          <w:spacing w:val="8"/>
          <w:sz w:val="32"/>
          <w:szCs w:val="32"/>
          <w:highlight w:val="none"/>
        </w:rPr>
        <w:t>”</w:t>
      </w:r>
      <w:r>
        <w:rPr>
          <w:rFonts w:hint="default" w:ascii="Times New Roman" w:hAnsi="Times New Roman" w:eastAsia="方正楷体_GBK" w:cs="Times New Roman"/>
          <w:b w:val="0"/>
          <w:bCs w:val="0"/>
          <w:color w:val="auto"/>
          <w:spacing w:val="8"/>
          <w:sz w:val="32"/>
          <w:szCs w:val="32"/>
          <w:highlight w:val="none"/>
        </w:rPr>
        <w:t>经费支出决算具体情况说明</w:t>
      </w:r>
      <w:bookmarkEnd w:id="33"/>
    </w:p>
    <w:p>
      <w:pPr>
        <w:keepNext w:val="0"/>
        <w:keepLines w:val="0"/>
        <w:pageBreakBefore w:val="0"/>
        <w:widowControl/>
        <w:kinsoku/>
        <w:wordWrap/>
        <w:overflowPunct/>
        <w:topLinePunct w:val="0"/>
        <w:autoSpaceDE w:val="0"/>
        <w:autoSpaceDN w:val="0"/>
        <w:bidi w:val="0"/>
        <w:adjustRightInd w:val="0"/>
        <w:snapToGrid w:val="0"/>
        <w:spacing w:before="6" w:line="550" w:lineRule="exact"/>
        <w:ind w:left="6" w:right="1" w:firstLine="638"/>
        <w:jc w:val="both"/>
        <w:textAlignment w:val="baseline"/>
        <w:outlineLvl w:val="9"/>
        <w:rPr>
          <w:rFonts w:hint="default" w:ascii="方正仿宋_GBK" w:hAnsi="方正仿宋_GBK" w:eastAsia="方正仿宋_GBK" w:cs="方正仿宋_GBK"/>
          <w:snapToGrid w:val="0"/>
          <w:color w:val="auto"/>
          <w:spacing w:val="3"/>
          <w:kern w:val="0"/>
          <w:sz w:val="31"/>
          <w:szCs w:val="31"/>
          <w:lang w:val="en-US" w:eastAsia="zh-CN" w:bidi="ar-SA"/>
        </w:rPr>
      </w:pPr>
      <w:r>
        <w:rPr>
          <w:rFonts w:hint="default" w:ascii="方正仿宋_GBK" w:hAnsi="方正仿宋_GBK" w:eastAsia="方正仿宋_GBK" w:cs="方正仿宋_GBK"/>
          <w:snapToGrid w:val="0"/>
          <w:color w:val="auto"/>
          <w:spacing w:val="3"/>
          <w:kern w:val="0"/>
          <w:sz w:val="31"/>
          <w:szCs w:val="31"/>
          <w:lang w:val="en-US" w:eastAsia="zh-CN" w:bidi="ar-SA"/>
        </w:rPr>
        <w:t>1.因公出国（境）费预算为</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万元，支出决算为</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万元</w:t>
      </w:r>
      <w:r>
        <w:rPr>
          <w:rFonts w:hint="eastAsia" w:ascii="方正仿宋_GBK" w:hAnsi="方正仿宋_GBK" w:eastAsia="方正仿宋_GBK" w:cs="方正仿宋_GBK"/>
          <w:snapToGrid w:val="0"/>
          <w:color w:val="auto"/>
          <w:spacing w:val="3"/>
          <w:kern w:val="0"/>
          <w:sz w:val="31"/>
          <w:szCs w:val="31"/>
          <w:lang w:val="en-US" w:eastAsia="zh-CN" w:bidi="ar-SA"/>
        </w:rPr>
        <w:t>。</w:t>
      </w:r>
    </w:p>
    <w:p>
      <w:pPr>
        <w:keepNext w:val="0"/>
        <w:keepLines w:val="0"/>
        <w:pageBreakBefore w:val="0"/>
        <w:widowControl/>
        <w:kinsoku/>
        <w:wordWrap/>
        <w:overflowPunct/>
        <w:topLinePunct w:val="0"/>
        <w:autoSpaceDE w:val="0"/>
        <w:autoSpaceDN w:val="0"/>
        <w:bidi w:val="0"/>
        <w:adjustRightInd w:val="0"/>
        <w:snapToGrid w:val="0"/>
        <w:spacing w:before="6" w:line="550" w:lineRule="exact"/>
        <w:ind w:left="6" w:right="1" w:firstLine="638"/>
        <w:jc w:val="both"/>
        <w:textAlignment w:val="baseline"/>
        <w:outlineLvl w:val="9"/>
        <w:rPr>
          <w:rFonts w:hint="default" w:ascii="方正仿宋_GBK" w:hAnsi="方正仿宋_GBK" w:eastAsia="方正仿宋_GBK" w:cs="方正仿宋_GBK"/>
          <w:snapToGrid w:val="0"/>
          <w:color w:val="auto"/>
          <w:spacing w:val="3"/>
          <w:kern w:val="0"/>
          <w:sz w:val="31"/>
          <w:szCs w:val="31"/>
          <w:lang w:val="en-US" w:eastAsia="zh-CN" w:bidi="ar-SA"/>
        </w:rPr>
      </w:pPr>
      <w:r>
        <w:rPr>
          <w:rFonts w:hint="default" w:ascii="方正仿宋_GBK" w:hAnsi="方正仿宋_GBK" w:eastAsia="方正仿宋_GBK" w:cs="方正仿宋_GBK"/>
          <w:snapToGrid w:val="0"/>
          <w:color w:val="auto"/>
          <w:spacing w:val="3"/>
          <w:kern w:val="0"/>
          <w:sz w:val="31"/>
          <w:szCs w:val="31"/>
          <w:lang w:val="en-US" w:eastAsia="zh-CN" w:bidi="ar-SA"/>
        </w:rPr>
        <w:t>2.公务用车购置及运行维护费预算为</w:t>
      </w:r>
      <w:r>
        <w:rPr>
          <w:rFonts w:hint="eastAsia" w:ascii="方正仿宋_GBK" w:hAnsi="方正仿宋_GBK" w:eastAsia="方正仿宋_GBK" w:cs="方正仿宋_GBK"/>
          <w:snapToGrid w:val="0"/>
          <w:color w:val="auto"/>
          <w:spacing w:val="3"/>
          <w:kern w:val="0"/>
          <w:sz w:val="31"/>
          <w:szCs w:val="31"/>
          <w:lang w:val="en-US" w:eastAsia="zh-CN" w:bidi="ar-SA"/>
        </w:rPr>
        <w:t>3.91</w:t>
      </w:r>
      <w:r>
        <w:rPr>
          <w:rFonts w:hint="default" w:ascii="方正仿宋_GBK" w:hAnsi="方正仿宋_GBK" w:eastAsia="方正仿宋_GBK" w:cs="方正仿宋_GBK"/>
          <w:snapToGrid w:val="0"/>
          <w:color w:val="auto"/>
          <w:spacing w:val="3"/>
          <w:kern w:val="0"/>
          <w:sz w:val="31"/>
          <w:szCs w:val="31"/>
          <w:lang w:val="en-US" w:eastAsia="zh-CN" w:bidi="ar-SA"/>
        </w:rPr>
        <w:t>万元，支出决算为</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万元，完成预算的</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%；支出决算较2024年度</w:t>
      </w:r>
      <w:r>
        <w:rPr>
          <w:rFonts w:hint="eastAsia" w:ascii="方正仿宋_GBK" w:hAnsi="方正仿宋_GBK" w:eastAsia="方正仿宋_GBK" w:cs="方正仿宋_GBK"/>
          <w:snapToGrid w:val="0"/>
          <w:color w:val="auto"/>
          <w:spacing w:val="3"/>
          <w:kern w:val="0"/>
          <w:sz w:val="31"/>
          <w:szCs w:val="31"/>
          <w:lang w:val="en-US" w:eastAsia="zh-CN" w:bidi="ar-SA"/>
        </w:rPr>
        <w:t>持平</w:t>
      </w:r>
      <w:r>
        <w:rPr>
          <w:rFonts w:hint="default" w:ascii="方正仿宋_GBK" w:hAnsi="方正仿宋_GBK" w:eastAsia="方正仿宋_GBK" w:cs="方正仿宋_GBK"/>
          <w:snapToGrid w:val="0"/>
          <w:color w:val="auto"/>
          <w:spacing w:val="3"/>
          <w:kern w:val="0"/>
          <w:sz w:val="31"/>
          <w:szCs w:val="31"/>
          <w:lang w:val="en-US" w:eastAsia="zh-CN" w:bidi="ar-SA"/>
        </w:rPr>
        <w:t>。</w:t>
      </w:r>
      <w:r>
        <w:rPr>
          <w:rFonts w:hint="eastAsia" w:ascii="方正仿宋_GBK" w:hAnsi="方正仿宋_GBK" w:eastAsia="方正仿宋_GBK" w:cs="方正仿宋_GBK"/>
          <w:snapToGrid w:val="0"/>
          <w:color w:val="auto"/>
          <w:spacing w:val="3"/>
          <w:kern w:val="0"/>
          <w:sz w:val="31"/>
          <w:szCs w:val="31"/>
          <w:lang w:val="en-US" w:eastAsia="zh-CN" w:bidi="ar-SA"/>
        </w:rPr>
        <w:t>决算数小于预算数的主要原因是</w:t>
      </w:r>
      <w:r>
        <w:rPr>
          <w:rFonts w:hint="default" w:ascii="方正仿宋_GBK" w:hAnsi="方正仿宋_GBK" w:eastAsia="方正仿宋_GBK" w:cs="方正仿宋_GBK"/>
          <w:snapToGrid w:val="0"/>
          <w:color w:val="auto"/>
          <w:spacing w:val="3"/>
          <w:kern w:val="0"/>
          <w:sz w:val="31"/>
          <w:szCs w:val="31"/>
          <w:lang w:val="en-US" w:eastAsia="zh-CN" w:bidi="ar-SA"/>
        </w:rPr>
        <w:t>落实过紧日子要求，从严控制</w:t>
      </w:r>
      <w:r>
        <w:rPr>
          <w:rFonts w:hint="eastAsia" w:ascii="方正仿宋_GBK" w:hAnsi="方正仿宋_GBK" w:eastAsia="方正仿宋_GBK" w:cs="方正仿宋_GBK"/>
          <w:snapToGrid w:val="0"/>
          <w:color w:val="auto"/>
          <w:spacing w:val="3"/>
          <w:kern w:val="0"/>
          <w:sz w:val="31"/>
          <w:szCs w:val="31"/>
          <w:lang w:val="en-US" w:eastAsia="zh-CN" w:bidi="ar-SA"/>
        </w:rPr>
        <w:t>“</w:t>
      </w:r>
      <w:r>
        <w:rPr>
          <w:rFonts w:hint="default" w:ascii="方正仿宋_GBK" w:hAnsi="方正仿宋_GBK" w:eastAsia="方正仿宋_GBK" w:cs="方正仿宋_GBK"/>
          <w:snapToGrid w:val="0"/>
          <w:color w:val="auto"/>
          <w:spacing w:val="3"/>
          <w:kern w:val="0"/>
          <w:sz w:val="31"/>
          <w:szCs w:val="31"/>
          <w:lang w:val="en-US" w:eastAsia="zh-CN" w:bidi="ar-SA"/>
        </w:rPr>
        <w:t>三公”经费开支</w:t>
      </w:r>
      <w:r>
        <w:rPr>
          <w:rFonts w:hint="eastAsia" w:ascii="方正仿宋_GBK" w:hAnsi="方正仿宋_GBK" w:eastAsia="方正仿宋_GBK" w:cs="方正仿宋_GBK"/>
          <w:snapToGrid w:val="0"/>
          <w:color w:val="auto"/>
          <w:spacing w:val="3"/>
          <w:kern w:val="0"/>
          <w:sz w:val="31"/>
          <w:szCs w:val="31"/>
          <w:lang w:val="en-US" w:eastAsia="zh-CN" w:bidi="ar-SA"/>
        </w:rPr>
        <w:t>。</w:t>
      </w:r>
    </w:p>
    <w:p>
      <w:pPr>
        <w:keepNext w:val="0"/>
        <w:keepLines w:val="0"/>
        <w:pageBreakBefore w:val="0"/>
        <w:widowControl/>
        <w:kinsoku/>
        <w:wordWrap/>
        <w:overflowPunct/>
        <w:topLinePunct w:val="0"/>
        <w:autoSpaceDE w:val="0"/>
        <w:autoSpaceDN w:val="0"/>
        <w:bidi w:val="0"/>
        <w:adjustRightInd w:val="0"/>
        <w:snapToGrid w:val="0"/>
        <w:spacing w:before="6" w:line="550" w:lineRule="exact"/>
        <w:ind w:left="6" w:right="1" w:firstLine="638"/>
        <w:jc w:val="both"/>
        <w:textAlignment w:val="baseline"/>
        <w:outlineLvl w:val="9"/>
        <w:rPr>
          <w:rFonts w:hint="default" w:ascii="Times New Roman" w:hAnsi="Times New Roman" w:eastAsia="方正仿宋_GBK" w:cs="Times New Roman"/>
          <w:color w:val="auto"/>
          <w:sz w:val="31"/>
          <w:szCs w:val="31"/>
          <w:highlight w:val="none"/>
        </w:rPr>
      </w:pPr>
      <w:r>
        <w:rPr>
          <w:rFonts w:hint="default" w:ascii="方正仿宋_GBK" w:hAnsi="方正仿宋_GBK" w:eastAsia="方正仿宋_GBK" w:cs="方正仿宋_GBK"/>
          <w:snapToGrid w:val="0"/>
          <w:color w:val="auto"/>
          <w:spacing w:val="3"/>
          <w:kern w:val="0"/>
          <w:sz w:val="31"/>
          <w:szCs w:val="31"/>
          <w:lang w:val="en-US" w:eastAsia="zh-CN" w:bidi="ar-SA"/>
        </w:rPr>
        <w:t>3.公务接待费预算为</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万元，支出决算为</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万元。</w:t>
      </w:r>
    </w:p>
    <w:p>
      <w:pPr>
        <w:keepNext w:val="0"/>
        <w:keepLines w:val="0"/>
        <w:pageBreakBefore w:val="0"/>
        <w:widowControl/>
        <w:kinsoku/>
        <w:wordWrap/>
        <w:overflowPunct/>
        <w:topLinePunct w:val="0"/>
        <w:autoSpaceDE w:val="0"/>
        <w:autoSpaceDN w:val="0"/>
        <w:bidi w:val="0"/>
        <w:adjustRightInd w:val="0"/>
        <w:snapToGrid w:val="0"/>
        <w:spacing w:before="1" w:line="600" w:lineRule="exact"/>
        <w:ind w:left="635"/>
        <w:textAlignment w:val="baseline"/>
        <w:outlineLvl w:val="0"/>
        <w:rPr>
          <w:rFonts w:hint="default" w:ascii="Times New Roman" w:hAnsi="Times New Roman" w:eastAsia="方正黑体_GBK" w:cs="Times New Roman"/>
          <w:color w:val="auto"/>
          <w:spacing w:val="9"/>
          <w:sz w:val="32"/>
          <w:szCs w:val="32"/>
          <w:highlight w:val="none"/>
        </w:rPr>
      </w:pPr>
      <w:bookmarkStart w:id="34" w:name="bookmark23"/>
      <w:bookmarkEnd w:id="34"/>
      <w:bookmarkStart w:id="35" w:name="_Toc286975877"/>
      <w:r>
        <w:rPr>
          <w:rFonts w:hint="default" w:ascii="Times New Roman" w:hAnsi="Times New Roman" w:eastAsia="方正黑体_GBK" w:cs="Times New Roman"/>
          <w:color w:val="auto"/>
          <w:spacing w:val="9"/>
          <w:sz w:val="32"/>
          <w:szCs w:val="32"/>
          <w:highlight w:val="none"/>
        </w:rPr>
        <w:t>八、机关运行经费支出情况说明</w:t>
      </w:r>
      <w:bookmarkEnd w:id="35"/>
    </w:p>
    <w:p>
      <w:pPr>
        <w:keepNext w:val="0"/>
        <w:keepLines w:val="0"/>
        <w:pageBreakBefore w:val="0"/>
        <w:widowControl/>
        <w:kinsoku/>
        <w:wordWrap/>
        <w:overflowPunct/>
        <w:topLinePunct w:val="0"/>
        <w:autoSpaceDE w:val="0"/>
        <w:autoSpaceDN w:val="0"/>
        <w:bidi w:val="0"/>
        <w:adjustRightInd w:val="0"/>
        <w:snapToGrid w:val="0"/>
        <w:spacing w:before="6" w:line="550" w:lineRule="exact"/>
        <w:ind w:left="6" w:right="0" w:firstLine="641"/>
        <w:jc w:val="both"/>
        <w:textAlignment w:val="baseline"/>
        <w:outlineLvl w:val="9"/>
        <w:rPr>
          <w:rFonts w:hint="eastAsia" w:ascii="方正仿宋_GBK" w:hAnsi="方正仿宋_GBK" w:eastAsia="方正仿宋_GBK" w:cs="方正仿宋_GBK"/>
          <w:snapToGrid w:val="0"/>
          <w:color w:val="auto"/>
          <w:spacing w:val="3"/>
          <w:kern w:val="0"/>
          <w:sz w:val="31"/>
          <w:szCs w:val="31"/>
          <w:lang w:val="en-US" w:eastAsia="zh-CN" w:bidi="ar-SA"/>
        </w:rPr>
      </w:pPr>
      <w:r>
        <w:rPr>
          <w:rFonts w:hint="eastAsia" w:ascii="方正仿宋_GBK" w:hAnsi="方正仿宋_GBK" w:eastAsia="方正仿宋_GBK" w:cs="方正仿宋_GBK"/>
          <w:snapToGrid w:val="0"/>
          <w:color w:val="auto"/>
          <w:spacing w:val="3"/>
          <w:kern w:val="0"/>
          <w:sz w:val="31"/>
          <w:szCs w:val="31"/>
          <w:lang w:val="en-US" w:eastAsia="zh-CN" w:bidi="ar-SA"/>
        </w:rPr>
        <w:t>资兴市消防救援大队</w:t>
      </w:r>
      <w:r>
        <w:rPr>
          <w:rFonts w:hint="default" w:ascii="方正仿宋_GBK" w:hAnsi="方正仿宋_GBK" w:eastAsia="方正仿宋_GBK" w:cs="方正仿宋_GBK"/>
          <w:snapToGrid w:val="0"/>
          <w:color w:val="auto"/>
          <w:spacing w:val="3"/>
          <w:kern w:val="0"/>
          <w:sz w:val="31"/>
          <w:szCs w:val="31"/>
          <w:lang w:val="en-US" w:eastAsia="zh-CN" w:bidi="ar-SA"/>
        </w:rPr>
        <w:t>2025年度机关运行经费支出</w:t>
      </w:r>
      <w:r>
        <w:rPr>
          <w:rFonts w:hint="eastAsia" w:ascii="方正仿宋_GBK" w:hAnsi="方正仿宋_GBK" w:eastAsia="方正仿宋_GBK" w:cs="方正仿宋_GBK"/>
          <w:snapToGrid w:val="0"/>
          <w:color w:val="auto"/>
          <w:spacing w:val="3"/>
          <w:kern w:val="0"/>
          <w:sz w:val="31"/>
          <w:szCs w:val="31"/>
          <w:lang w:val="en-US" w:eastAsia="zh-CN" w:bidi="ar-SA"/>
        </w:rPr>
        <w:t>38.23</w:t>
      </w:r>
      <w:r>
        <w:rPr>
          <w:rFonts w:hint="default" w:ascii="方正仿宋_GBK" w:hAnsi="方正仿宋_GBK" w:eastAsia="方正仿宋_GBK" w:cs="方正仿宋_GBK"/>
          <w:snapToGrid w:val="0"/>
          <w:color w:val="auto"/>
          <w:spacing w:val="3"/>
          <w:kern w:val="0"/>
          <w:sz w:val="31"/>
          <w:szCs w:val="31"/>
          <w:lang w:val="en-US" w:eastAsia="zh-CN" w:bidi="ar-SA"/>
        </w:rPr>
        <w:t>万元，较2024年度增加</w:t>
      </w:r>
      <w:r>
        <w:rPr>
          <w:rFonts w:hint="eastAsia" w:ascii="方正仿宋_GBK" w:hAnsi="方正仿宋_GBK" w:eastAsia="方正仿宋_GBK" w:cs="方正仿宋_GBK"/>
          <w:snapToGrid w:val="0"/>
          <w:color w:val="auto"/>
          <w:spacing w:val="3"/>
          <w:kern w:val="0"/>
          <w:sz w:val="31"/>
          <w:szCs w:val="31"/>
          <w:lang w:val="en-US" w:eastAsia="zh-CN" w:bidi="ar-SA"/>
        </w:rPr>
        <w:t>20.03</w:t>
      </w:r>
      <w:r>
        <w:rPr>
          <w:rFonts w:hint="default" w:ascii="方正仿宋_GBK" w:hAnsi="方正仿宋_GBK" w:eastAsia="方正仿宋_GBK" w:cs="方正仿宋_GBK"/>
          <w:snapToGrid w:val="0"/>
          <w:color w:val="auto"/>
          <w:spacing w:val="3"/>
          <w:kern w:val="0"/>
          <w:sz w:val="31"/>
          <w:szCs w:val="31"/>
          <w:lang w:val="en-US" w:eastAsia="zh-CN" w:bidi="ar-SA"/>
        </w:rPr>
        <w:t>万元，增长</w:t>
      </w:r>
      <w:r>
        <w:rPr>
          <w:rFonts w:hint="eastAsia" w:ascii="方正仿宋_GBK" w:hAnsi="方正仿宋_GBK" w:eastAsia="方正仿宋_GBK" w:cs="方正仿宋_GBK"/>
          <w:snapToGrid w:val="0"/>
          <w:color w:val="auto"/>
          <w:spacing w:val="3"/>
          <w:kern w:val="0"/>
          <w:sz w:val="31"/>
          <w:szCs w:val="31"/>
          <w:lang w:val="en-US" w:eastAsia="zh-CN" w:bidi="ar-SA"/>
        </w:rPr>
        <w:t>110.05</w:t>
      </w:r>
      <w:r>
        <w:rPr>
          <w:rFonts w:hint="default" w:ascii="方正仿宋_GBK" w:hAnsi="方正仿宋_GBK" w:eastAsia="方正仿宋_GBK" w:cs="方正仿宋_GBK"/>
          <w:snapToGrid w:val="0"/>
          <w:color w:val="auto"/>
          <w:spacing w:val="3"/>
          <w:kern w:val="0"/>
          <w:sz w:val="31"/>
          <w:szCs w:val="31"/>
          <w:lang w:val="en-US" w:eastAsia="zh-CN" w:bidi="ar-SA"/>
        </w:rPr>
        <w:t>%。决算数大于上年数的主要原因是</w:t>
      </w:r>
      <w:bookmarkStart w:id="36" w:name="bookmark24"/>
      <w:bookmarkEnd w:id="36"/>
      <w:r>
        <w:rPr>
          <w:rFonts w:hint="eastAsia" w:ascii="方正仿宋_GBK" w:hAnsi="方正仿宋_GBK" w:eastAsia="方正仿宋_GBK" w:cs="方正仿宋_GBK"/>
          <w:snapToGrid w:val="0"/>
          <w:color w:val="auto"/>
          <w:spacing w:val="3"/>
          <w:kern w:val="0"/>
          <w:sz w:val="31"/>
          <w:szCs w:val="31"/>
          <w:lang w:val="en-US" w:eastAsia="zh-CN" w:bidi="ar-SA"/>
        </w:rPr>
        <w:t>我单位使用结转资金合理保障消防救援队伍日常运转等重点支出。</w:t>
      </w:r>
    </w:p>
    <w:p>
      <w:pPr>
        <w:keepNext w:val="0"/>
        <w:keepLines w:val="0"/>
        <w:pageBreakBefore w:val="0"/>
        <w:widowControl/>
        <w:numPr>
          <w:ilvl w:val="0"/>
          <w:numId w:val="0"/>
        </w:numPr>
        <w:kinsoku/>
        <w:wordWrap/>
        <w:overflowPunct/>
        <w:topLinePunct w:val="0"/>
        <w:autoSpaceDE w:val="0"/>
        <w:autoSpaceDN w:val="0"/>
        <w:bidi w:val="0"/>
        <w:adjustRightInd w:val="0"/>
        <w:snapToGrid w:val="0"/>
        <w:spacing w:before="1" w:line="600" w:lineRule="exact"/>
        <w:ind w:firstLine="676" w:firstLineChars="200"/>
        <w:textAlignment w:val="baseline"/>
        <w:outlineLvl w:val="0"/>
        <w:rPr>
          <w:rFonts w:hint="default" w:ascii="Times New Roman" w:hAnsi="Times New Roman" w:eastAsia="方正黑体_GBK" w:cs="Times New Roman"/>
          <w:color w:val="auto"/>
          <w:spacing w:val="9"/>
          <w:sz w:val="32"/>
          <w:szCs w:val="32"/>
          <w:highlight w:val="none"/>
        </w:rPr>
      </w:pPr>
      <w:bookmarkStart w:id="37" w:name="_Toc13169103"/>
      <w:r>
        <w:rPr>
          <w:rFonts w:hint="eastAsia" w:ascii="Times New Roman" w:hAnsi="Times New Roman" w:eastAsia="方正黑体_GBK" w:cs="Times New Roman"/>
          <w:color w:val="auto"/>
          <w:spacing w:val="9"/>
          <w:sz w:val="32"/>
          <w:szCs w:val="32"/>
          <w:highlight w:val="none"/>
          <w:lang w:eastAsia="zh-CN"/>
        </w:rPr>
        <w:t>九、</w:t>
      </w:r>
      <w:r>
        <w:rPr>
          <w:rFonts w:hint="default" w:ascii="Times New Roman" w:hAnsi="Times New Roman" w:eastAsia="方正黑体_GBK" w:cs="Times New Roman"/>
          <w:color w:val="auto"/>
          <w:spacing w:val="9"/>
          <w:sz w:val="32"/>
          <w:szCs w:val="32"/>
          <w:highlight w:val="none"/>
        </w:rPr>
        <w:t>政府采购支出情况说明</w:t>
      </w:r>
      <w:bookmarkEnd w:id="37"/>
    </w:p>
    <w:p>
      <w:pPr>
        <w:keepNext w:val="0"/>
        <w:keepLines w:val="0"/>
        <w:pageBreakBefore w:val="0"/>
        <w:widowControl/>
        <w:kinsoku/>
        <w:wordWrap/>
        <w:overflowPunct/>
        <w:topLinePunct w:val="0"/>
        <w:autoSpaceDE w:val="0"/>
        <w:autoSpaceDN w:val="0"/>
        <w:bidi w:val="0"/>
        <w:adjustRightInd w:val="0"/>
        <w:snapToGrid w:val="0"/>
        <w:spacing w:line="550" w:lineRule="exact"/>
        <w:ind w:left="0" w:right="0" w:firstLine="641"/>
        <w:jc w:val="both"/>
        <w:textAlignment w:val="baseline"/>
        <w:rPr>
          <w:rFonts w:hint="default" w:ascii="Times New Roman" w:hAnsi="Times New Roman" w:eastAsia="方正仿宋_GBK" w:cs="Times New Roman"/>
          <w:color w:val="auto"/>
          <w:spacing w:val="5"/>
          <w:sz w:val="32"/>
          <w:szCs w:val="32"/>
          <w:highlight w:val="none"/>
          <w:lang w:eastAsia="zh-CN"/>
        </w:rPr>
      </w:pPr>
      <w:r>
        <w:rPr>
          <w:rFonts w:hint="eastAsia" w:ascii="方正仿宋_GBK" w:hAnsi="方正仿宋_GBK" w:eastAsia="方正仿宋_GBK" w:cs="方正仿宋_GBK"/>
          <w:snapToGrid w:val="0"/>
          <w:color w:val="auto"/>
          <w:spacing w:val="3"/>
          <w:kern w:val="0"/>
          <w:sz w:val="31"/>
          <w:szCs w:val="31"/>
          <w:lang w:val="en-US" w:eastAsia="zh-CN" w:bidi="ar-SA"/>
        </w:rPr>
        <w:t>资兴市消防救援大队</w:t>
      </w:r>
      <w:r>
        <w:rPr>
          <w:rFonts w:hint="default" w:ascii="方正仿宋_GBK" w:hAnsi="方正仿宋_GBK" w:eastAsia="方正仿宋_GBK" w:cs="方正仿宋_GBK"/>
          <w:snapToGrid w:val="0"/>
          <w:color w:val="auto"/>
          <w:spacing w:val="3"/>
          <w:kern w:val="0"/>
          <w:sz w:val="31"/>
          <w:szCs w:val="31"/>
          <w:lang w:val="en-US" w:eastAsia="zh-CN" w:bidi="ar-SA"/>
        </w:rPr>
        <w:t>2025年度政府采购支出总额</w:t>
      </w:r>
      <w:r>
        <w:rPr>
          <w:rFonts w:hint="eastAsia" w:ascii="方正仿宋_GBK" w:hAnsi="方正仿宋_GBK" w:eastAsia="方正仿宋_GBK" w:cs="方正仿宋_GBK"/>
          <w:snapToGrid w:val="0"/>
          <w:color w:val="auto"/>
          <w:spacing w:val="3"/>
          <w:kern w:val="0"/>
          <w:sz w:val="31"/>
          <w:szCs w:val="31"/>
          <w:lang w:val="en-US" w:eastAsia="zh-CN" w:bidi="ar-SA"/>
        </w:rPr>
        <w:t>139.82</w:t>
      </w:r>
      <w:r>
        <w:rPr>
          <w:rFonts w:hint="default" w:ascii="方正仿宋_GBK" w:hAnsi="方正仿宋_GBK" w:eastAsia="方正仿宋_GBK" w:cs="方正仿宋_GBK"/>
          <w:snapToGrid w:val="0"/>
          <w:color w:val="auto"/>
          <w:spacing w:val="3"/>
          <w:kern w:val="0"/>
          <w:sz w:val="31"/>
          <w:szCs w:val="31"/>
          <w:lang w:val="en-US" w:eastAsia="zh-CN" w:bidi="ar-SA"/>
        </w:rPr>
        <w:t>万元，其中：政府采购货物支出</w:t>
      </w:r>
      <w:r>
        <w:rPr>
          <w:rFonts w:hint="eastAsia" w:ascii="方正仿宋_GBK" w:hAnsi="方正仿宋_GBK" w:eastAsia="方正仿宋_GBK" w:cs="方正仿宋_GBK"/>
          <w:snapToGrid w:val="0"/>
          <w:color w:val="auto"/>
          <w:spacing w:val="3"/>
          <w:kern w:val="0"/>
          <w:sz w:val="31"/>
          <w:szCs w:val="31"/>
          <w:lang w:val="en-US" w:eastAsia="zh-CN" w:bidi="ar-SA"/>
        </w:rPr>
        <w:t>118.02</w:t>
      </w:r>
      <w:r>
        <w:rPr>
          <w:rFonts w:hint="default" w:ascii="方正仿宋_GBK" w:hAnsi="方正仿宋_GBK" w:eastAsia="方正仿宋_GBK" w:cs="方正仿宋_GBK"/>
          <w:snapToGrid w:val="0"/>
          <w:color w:val="auto"/>
          <w:spacing w:val="3"/>
          <w:kern w:val="0"/>
          <w:sz w:val="31"/>
          <w:szCs w:val="31"/>
          <w:lang w:val="en-US" w:eastAsia="zh-CN" w:bidi="ar-SA"/>
        </w:rPr>
        <w:t>万元、政府采购工程支出</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万元、政府采购服务支出</w:t>
      </w:r>
      <w:r>
        <w:rPr>
          <w:rFonts w:hint="eastAsia" w:ascii="方正仿宋_GBK" w:hAnsi="方正仿宋_GBK" w:eastAsia="方正仿宋_GBK" w:cs="方正仿宋_GBK"/>
          <w:snapToGrid w:val="0"/>
          <w:color w:val="auto"/>
          <w:spacing w:val="3"/>
          <w:kern w:val="0"/>
          <w:sz w:val="31"/>
          <w:szCs w:val="31"/>
          <w:lang w:val="en-US" w:eastAsia="zh-CN" w:bidi="ar-SA"/>
        </w:rPr>
        <w:t>21.8</w:t>
      </w:r>
      <w:r>
        <w:rPr>
          <w:rFonts w:hint="default" w:ascii="方正仿宋_GBK" w:hAnsi="方正仿宋_GBK" w:eastAsia="方正仿宋_GBK" w:cs="方正仿宋_GBK"/>
          <w:snapToGrid w:val="0"/>
          <w:color w:val="auto"/>
          <w:spacing w:val="3"/>
          <w:kern w:val="0"/>
          <w:sz w:val="31"/>
          <w:szCs w:val="31"/>
          <w:lang w:val="en-US" w:eastAsia="zh-CN" w:bidi="ar-SA"/>
        </w:rPr>
        <w:t>万元。授予中小企业合同金额</w:t>
      </w:r>
      <w:r>
        <w:rPr>
          <w:rFonts w:hint="eastAsia" w:ascii="方正仿宋_GBK" w:hAnsi="方正仿宋_GBK" w:eastAsia="方正仿宋_GBK" w:cs="方正仿宋_GBK"/>
          <w:snapToGrid w:val="0"/>
          <w:color w:val="auto"/>
          <w:spacing w:val="3"/>
          <w:kern w:val="0"/>
          <w:sz w:val="31"/>
          <w:szCs w:val="31"/>
          <w:lang w:val="en-US" w:eastAsia="zh-CN" w:bidi="ar-SA"/>
        </w:rPr>
        <w:t>116.6</w:t>
      </w:r>
      <w:r>
        <w:rPr>
          <w:rFonts w:hint="default" w:ascii="方正仿宋_GBK" w:hAnsi="方正仿宋_GBK" w:eastAsia="方正仿宋_GBK" w:cs="方正仿宋_GBK"/>
          <w:snapToGrid w:val="0"/>
          <w:color w:val="auto"/>
          <w:spacing w:val="3"/>
          <w:kern w:val="0"/>
          <w:sz w:val="31"/>
          <w:szCs w:val="31"/>
          <w:lang w:val="en-US" w:eastAsia="zh-CN" w:bidi="ar-SA"/>
        </w:rPr>
        <w:t>万元占政府采购支出总额的</w:t>
      </w:r>
      <w:r>
        <w:rPr>
          <w:rFonts w:hint="eastAsia" w:ascii="方正仿宋_GBK" w:hAnsi="方正仿宋_GBK" w:eastAsia="方正仿宋_GBK" w:cs="方正仿宋_GBK"/>
          <w:snapToGrid w:val="0"/>
          <w:color w:val="auto"/>
          <w:spacing w:val="3"/>
          <w:kern w:val="0"/>
          <w:sz w:val="31"/>
          <w:szCs w:val="31"/>
          <w:lang w:val="en-US" w:eastAsia="zh-CN" w:bidi="ar-SA"/>
        </w:rPr>
        <w:t>83.39</w:t>
      </w:r>
      <w:r>
        <w:rPr>
          <w:rFonts w:hint="default" w:ascii="方正仿宋_GBK" w:hAnsi="方正仿宋_GBK" w:eastAsia="方正仿宋_GBK" w:cs="方正仿宋_GBK"/>
          <w:snapToGrid w:val="0"/>
          <w:color w:val="auto"/>
          <w:spacing w:val="3"/>
          <w:kern w:val="0"/>
          <w:sz w:val="31"/>
          <w:szCs w:val="31"/>
          <w:lang w:val="en-US" w:eastAsia="zh-CN" w:bidi="ar-SA"/>
        </w:rPr>
        <w:t>%，其中：授予小微企业合同金额</w:t>
      </w:r>
      <w:r>
        <w:rPr>
          <w:rFonts w:hint="eastAsia" w:ascii="方正仿宋_GBK" w:hAnsi="方正仿宋_GBK" w:eastAsia="方正仿宋_GBK" w:cs="方正仿宋_GBK"/>
          <w:snapToGrid w:val="0"/>
          <w:color w:val="auto"/>
          <w:spacing w:val="3"/>
          <w:kern w:val="0"/>
          <w:sz w:val="31"/>
          <w:szCs w:val="31"/>
          <w:lang w:val="en-US" w:eastAsia="zh-CN" w:bidi="ar-SA"/>
        </w:rPr>
        <w:t>106.5</w:t>
      </w:r>
      <w:r>
        <w:rPr>
          <w:rFonts w:hint="default" w:ascii="方正仿宋_GBK" w:hAnsi="方正仿宋_GBK" w:eastAsia="方正仿宋_GBK" w:cs="方正仿宋_GBK"/>
          <w:snapToGrid w:val="0"/>
          <w:color w:val="auto"/>
          <w:spacing w:val="3"/>
          <w:kern w:val="0"/>
          <w:sz w:val="31"/>
          <w:szCs w:val="31"/>
          <w:lang w:val="en-US" w:eastAsia="zh-CN" w:bidi="ar-SA"/>
        </w:rPr>
        <w:t>万元，占授予中小企业合同金额的</w:t>
      </w:r>
      <w:r>
        <w:rPr>
          <w:rFonts w:hint="eastAsia" w:ascii="方正仿宋_GBK" w:hAnsi="方正仿宋_GBK" w:eastAsia="方正仿宋_GBK" w:cs="方正仿宋_GBK"/>
          <w:snapToGrid w:val="0"/>
          <w:color w:val="auto"/>
          <w:spacing w:val="3"/>
          <w:kern w:val="0"/>
          <w:sz w:val="31"/>
          <w:szCs w:val="31"/>
          <w:lang w:val="en-US" w:eastAsia="zh-CN" w:bidi="ar-SA"/>
        </w:rPr>
        <w:t>91.34</w:t>
      </w:r>
      <w:r>
        <w:rPr>
          <w:rFonts w:hint="default" w:ascii="方正仿宋_GBK" w:hAnsi="方正仿宋_GBK" w:eastAsia="方正仿宋_GBK" w:cs="方正仿宋_GBK"/>
          <w:snapToGrid w:val="0"/>
          <w:color w:val="auto"/>
          <w:spacing w:val="3"/>
          <w:kern w:val="0"/>
          <w:sz w:val="31"/>
          <w:szCs w:val="31"/>
          <w:lang w:val="en-US" w:eastAsia="zh-CN" w:bidi="ar-SA"/>
        </w:rPr>
        <w:t>%；货物采购授予中小企业合同金额占货物支出金额的</w:t>
      </w:r>
      <w:r>
        <w:rPr>
          <w:rFonts w:hint="eastAsia" w:ascii="方正仿宋_GBK" w:hAnsi="方正仿宋_GBK" w:eastAsia="方正仿宋_GBK" w:cs="方正仿宋_GBK"/>
          <w:snapToGrid w:val="0"/>
          <w:color w:val="auto"/>
          <w:spacing w:val="3"/>
          <w:kern w:val="0"/>
          <w:sz w:val="31"/>
          <w:szCs w:val="31"/>
          <w:lang w:val="en-US" w:eastAsia="zh-CN" w:bidi="ar-SA"/>
        </w:rPr>
        <w:t>98.8</w:t>
      </w:r>
      <w:r>
        <w:rPr>
          <w:rFonts w:hint="default" w:ascii="方正仿宋_GBK" w:hAnsi="方正仿宋_GBK" w:eastAsia="方正仿宋_GBK" w:cs="方正仿宋_GBK"/>
          <w:snapToGrid w:val="0"/>
          <w:color w:val="auto"/>
          <w:spacing w:val="3"/>
          <w:kern w:val="0"/>
          <w:sz w:val="31"/>
          <w:szCs w:val="31"/>
          <w:lang w:val="en-US" w:eastAsia="zh-CN" w:bidi="ar-SA"/>
        </w:rPr>
        <w:t>%，工程采购授予中小企业合同金额占工程支出金额的</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%，服务采购授予中小企业合同金额占服务支出金额的</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w:t>
      </w:r>
    </w:p>
    <w:p>
      <w:pPr>
        <w:keepNext w:val="0"/>
        <w:keepLines w:val="0"/>
        <w:pageBreakBefore w:val="0"/>
        <w:widowControl/>
        <w:numPr>
          <w:ilvl w:val="0"/>
          <w:numId w:val="0"/>
        </w:numPr>
        <w:kinsoku/>
        <w:wordWrap/>
        <w:overflowPunct/>
        <w:topLinePunct w:val="0"/>
        <w:autoSpaceDE w:val="0"/>
        <w:autoSpaceDN w:val="0"/>
        <w:bidi w:val="0"/>
        <w:adjustRightInd w:val="0"/>
        <w:snapToGrid w:val="0"/>
        <w:spacing w:before="1" w:line="600" w:lineRule="exact"/>
        <w:ind w:firstLine="676" w:firstLineChars="200"/>
        <w:textAlignment w:val="baseline"/>
        <w:outlineLvl w:val="0"/>
        <w:rPr>
          <w:rFonts w:hint="default" w:ascii="Times New Roman" w:hAnsi="Times New Roman" w:eastAsia="方正黑体_GBK" w:cs="Times New Roman"/>
          <w:color w:val="auto"/>
          <w:spacing w:val="9"/>
          <w:sz w:val="32"/>
          <w:szCs w:val="32"/>
          <w:highlight w:val="none"/>
          <w:lang w:eastAsia="zh-CN"/>
        </w:rPr>
      </w:pPr>
      <w:bookmarkStart w:id="38" w:name="bookmark25"/>
      <w:bookmarkEnd w:id="38"/>
      <w:bookmarkStart w:id="39" w:name="_Toc1738618549"/>
      <w:r>
        <w:rPr>
          <w:rFonts w:hint="default" w:ascii="Times New Roman" w:hAnsi="Times New Roman" w:eastAsia="方正黑体_GBK" w:cs="Times New Roman"/>
          <w:color w:val="auto"/>
          <w:spacing w:val="9"/>
          <w:sz w:val="32"/>
          <w:szCs w:val="32"/>
          <w:highlight w:val="none"/>
          <w:lang w:eastAsia="zh-CN"/>
        </w:rPr>
        <w:t>十、国有资产占用情况说明</w:t>
      </w:r>
      <w:bookmarkEnd w:id="39"/>
    </w:p>
    <w:p>
      <w:pPr>
        <w:keepNext w:val="0"/>
        <w:keepLines w:val="0"/>
        <w:pageBreakBefore w:val="0"/>
        <w:widowControl/>
        <w:kinsoku/>
        <w:wordWrap/>
        <w:overflowPunct/>
        <w:topLinePunct w:val="0"/>
        <w:autoSpaceDE w:val="0"/>
        <w:autoSpaceDN w:val="0"/>
        <w:bidi w:val="0"/>
        <w:adjustRightInd w:val="0"/>
        <w:snapToGrid w:val="0"/>
        <w:spacing w:line="550" w:lineRule="exact"/>
        <w:ind w:left="0" w:right="0" w:firstLine="641"/>
        <w:jc w:val="both"/>
        <w:textAlignment w:val="baseline"/>
        <w:rPr>
          <w:rFonts w:hint="default" w:ascii="方正仿宋_GBK" w:hAnsi="方正仿宋_GBK" w:eastAsia="方正仿宋_GBK" w:cs="方正仿宋_GBK"/>
          <w:snapToGrid w:val="0"/>
          <w:color w:val="auto"/>
          <w:spacing w:val="3"/>
          <w:kern w:val="0"/>
          <w:sz w:val="31"/>
          <w:szCs w:val="31"/>
          <w:lang w:val="en-US" w:eastAsia="zh-CN" w:bidi="ar-SA"/>
        </w:rPr>
      </w:pPr>
      <w:r>
        <w:rPr>
          <w:rFonts w:hint="default" w:ascii="方正仿宋_GBK" w:hAnsi="方正仿宋_GBK" w:eastAsia="方正仿宋_GBK" w:cs="方正仿宋_GBK"/>
          <w:snapToGrid w:val="0"/>
          <w:color w:val="auto"/>
          <w:spacing w:val="3"/>
          <w:kern w:val="0"/>
          <w:sz w:val="31"/>
          <w:szCs w:val="31"/>
          <w:lang w:val="en-US" w:eastAsia="zh-CN" w:bidi="ar-SA"/>
        </w:rPr>
        <w:t>截至2025年12月31日，</w:t>
      </w:r>
      <w:r>
        <w:rPr>
          <w:rFonts w:hint="eastAsia" w:ascii="方正仿宋_GBK" w:hAnsi="方正仿宋_GBK" w:eastAsia="方正仿宋_GBK" w:cs="方正仿宋_GBK"/>
          <w:snapToGrid w:val="0"/>
          <w:color w:val="auto"/>
          <w:spacing w:val="3"/>
          <w:kern w:val="0"/>
          <w:sz w:val="31"/>
          <w:szCs w:val="31"/>
          <w:lang w:val="en-US" w:eastAsia="zh-CN" w:bidi="ar-SA"/>
        </w:rPr>
        <w:t>资兴市消防救援大队</w:t>
      </w:r>
      <w:r>
        <w:rPr>
          <w:rFonts w:hint="default" w:ascii="方正仿宋_GBK" w:hAnsi="方正仿宋_GBK" w:eastAsia="方正仿宋_GBK" w:cs="方正仿宋_GBK"/>
          <w:snapToGrid w:val="0"/>
          <w:color w:val="auto"/>
          <w:spacing w:val="3"/>
          <w:kern w:val="0"/>
          <w:sz w:val="31"/>
          <w:szCs w:val="31"/>
          <w:lang w:val="en-US" w:eastAsia="zh-CN" w:bidi="ar-SA"/>
        </w:rPr>
        <w:t>共有车辆</w:t>
      </w:r>
      <w:r>
        <w:rPr>
          <w:rFonts w:hint="eastAsia" w:ascii="方正仿宋_GBK" w:hAnsi="方正仿宋_GBK" w:eastAsia="方正仿宋_GBK" w:cs="方正仿宋_GBK"/>
          <w:snapToGrid w:val="0"/>
          <w:color w:val="auto"/>
          <w:spacing w:val="3"/>
          <w:kern w:val="0"/>
          <w:sz w:val="31"/>
          <w:szCs w:val="31"/>
          <w:lang w:val="en-US" w:eastAsia="zh-CN" w:bidi="ar-SA"/>
        </w:rPr>
        <w:t>22</w:t>
      </w:r>
      <w:r>
        <w:rPr>
          <w:rFonts w:hint="default" w:ascii="方正仿宋_GBK" w:hAnsi="方正仿宋_GBK" w:eastAsia="方正仿宋_GBK" w:cs="方正仿宋_GBK"/>
          <w:snapToGrid w:val="0"/>
          <w:color w:val="auto"/>
          <w:spacing w:val="3"/>
          <w:kern w:val="0"/>
          <w:sz w:val="31"/>
          <w:szCs w:val="31"/>
          <w:lang w:val="en-US" w:eastAsia="zh-CN" w:bidi="ar-SA"/>
        </w:rPr>
        <w:t>辆，其中，机要通信用车</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辆、应急保障用车</w:t>
      </w:r>
      <w:r>
        <w:rPr>
          <w:rFonts w:hint="eastAsia" w:ascii="方正仿宋_GBK" w:hAnsi="方正仿宋_GBK" w:eastAsia="方正仿宋_GBK" w:cs="方正仿宋_GBK"/>
          <w:snapToGrid w:val="0"/>
          <w:color w:val="auto"/>
          <w:spacing w:val="3"/>
          <w:kern w:val="0"/>
          <w:sz w:val="31"/>
          <w:szCs w:val="31"/>
          <w:lang w:val="en-US" w:eastAsia="zh-CN" w:bidi="ar-SA"/>
        </w:rPr>
        <w:t>1</w:t>
      </w:r>
      <w:r>
        <w:rPr>
          <w:rFonts w:hint="default" w:ascii="方正仿宋_GBK" w:hAnsi="方正仿宋_GBK" w:eastAsia="方正仿宋_GBK" w:cs="方正仿宋_GBK"/>
          <w:snapToGrid w:val="0"/>
          <w:color w:val="auto"/>
          <w:spacing w:val="3"/>
          <w:kern w:val="0"/>
          <w:sz w:val="31"/>
          <w:szCs w:val="31"/>
          <w:lang w:val="en-US" w:eastAsia="zh-CN" w:bidi="ar-SA"/>
        </w:rPr>
        <w:t>辆、执法执勤用车</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辆、特种专业技术用车</w:t>
      </w:r>
      <w:r>
        <w:rPr>
          <w:rFonts w:hint="eastAsia" w:ascii="方正仿宋_GBK" w:hAnsi="方正仿宋_GBK" w:eastAsia="方正仿宋_GBK" w:cs="方正仿宋_GBK"/>
          <w:snapToGrid w:val="0"/>
          <w:color w:val="auto"/>
          <w:spacing w:val="3"/>
          <w:kern w:val="0"/>
          <w:sz w:val="31"/>
          <w:szCs w:val="31"/>
          <w:lang w:val="en-US" w:eastAsia="zh-CN" w:bidi="ar-SA"/>
        </w:rPr>
        <w:t>21</w:t>
      </w:r>
      <w:r>
        <w:rPr>
          <w:rFonts w:hint="default" w:ascii="方正仿宋_GBK" w:hAnsi="方正仿宋_GBK" w:eastAsia="方正仿宋_GBK" w:cs="方正仿宋_GBK"/>
          <w:snapToGrid w:val="0"/>
          <w:color w:val="auto"/>
          <w:spacing w:val="3"/>
          <w:kern w:val="0"/>
          <w:sz w:val="31"/>
          <w:szCs w:val="31"/>
          <w:lang w:val="en-US" w:eastAsia="zh-CN" w:bidi="ar-SA"/>
        </w:rPr>
        <w:t>辆</w:t>
      </w:r>
      <w:r>
        <w:rPr>
          <w:rFonts w:hint="eastAsia" w:ascii="方正仿宋_GBK" w:hAnsi="方正仿宋_GBK" w:eastAsia="方正仿宋_GBK" w:cs="方正仿宋_GBK"/>
          <w:snapToGrid w:val="0"/>
          <w:color w:val="auto"/>
          <w:spacing w:val="3"/>
          <w:kern w:val="0"/>
          <w:sz w:val="31"/>
          <w:szCs w:val="31"/>
          <w:lang w:val="en-US" w:eastAsia="zh-CN" w:bidi="ar-SA"/>
        </w:rPr>
        <w:t>、其他用车0辆</w:t>
      </w:r>
      <w:r>
        <w:rPr>
          <w:rFonts w:hint="default" w:ascii="方正仿宋_GBK" w:hAnsi="方正仿宋_GBK" w:eastAsia="方正仿宋_GBK" w:cs="方正仿宋_GBK"/>
          <w:snapToGrid w:val="0"/>
          <w:color w:val="auto"/>
          <w:spacing w:val="3"/>
          <w:kern w:val="0"/>
          <w:sz w:val="31"/>
          <w:szCs w:val="31"/>
          <w:lang w:val="en-US" w:eastAsia="zh-CN" w:bidi="ar-SA"/>
        </w:rPr>
        <w:t>；单位价值100万元以上的专用设备</w:t>
      </w:r>
      <w:r>
        <w:rPr>
          <w:rFonts w:hint="eastAsia" w:ascii="方正仿宋_GBK" w:hAnsi="方正仿宋_GBK" w:eastAsia="方正仿宋_GBK" w:cs="方正仿宋_GBK"/>
          <w:snapToGrid w:val="0"/>
          <w:color w:val="auto"/>
          <w:spacing w:val="3"/>
          <w:kern w:val="0"/>
          <w:sz w:val="31"/>
          <w:szCs w:val="31"/>
          <w:lang w:val="en-US" w:eastAsia="zh-CN" w:bidi="ar-SA"/>
        </w:rPr>
        <w:t>0</w:t>
      </w:r>
      <w:r>
        <w:rPr>
          <w:rFonts w:hint="default" w:ascii="方正仿宋_GBK" w:hAnsi="方正仿宋_GBK" w:eastAsia="方正仿宋_GBK" w:cs="方正仿宋_GBK"/>
          <w:snapToGrid w:val="0"/>
          <w:color w:val="auto"/>
          <w:spacing w:val="3"/>
          <w:kern w:val="0"/>
          <w:sz w:val="31"/>
          <w:szCs w:val="31"/>
          <w:lang w:val="en-US" w:eastAsia="zh-CN" w:bidi="ar-SA"/>
        </w:rPr>
        <w:t>台（套）。</w:t>
      </w:r>
    </w:p>
    <w:p>
      <w:pPr>
        <w:keepNext w:val="0"/>
        <w:keepLines w:val="0"/>
        <w:pageBreakBefore w:val="0"/>
        <w:widowControl/>
        <w:numPr>
          <w:ilvl w:val="0"/>
          <w:numId w:val="0"/>
        </w:numPr>
        <w:kinsoku/>
        <w:wordWrap/>
        <w:overflowPunct/>
        <w:topLinePunct w:val="0"/>
        <w:autoSpaceDE w:val="0"/>
        <w:autoSpaceDN w:val="0"/>
        <w:bidi w:val="0"/>
        <w:adjustRightInd w:val="0"/>
        <w:snapToGrid w:val="0"/>
        <w:spacing w:before="1" w:line="600" w:lineRule="exact"/>
        <w:ind w:firstLine="676" w:firstLineChars="200"/>
        <w:textAlignment w:val="baseline"/>
        <w:outlineLvl w:val="0"/>
        <w:rPr>
          <w:rFonts w:hint="default" w:ascii="Times New Roman" w:hAnsi="Times New Roman" w:eastAsia="方正黑体_GBK" w:cs="Times New Roman"/>
          <w:color w:val="auto"/>
          <w:spacing w:val="9"/>
          <w:sz w:val="32"/>
          <w:szCs w:val="32"/>
          <w:highlight w:val="none"/>
          <w:lang w:eastAsia="zh-CN"/>
        </w:rPr>
      </w:pPr>
      <w:bookmarkStart w:id="40" w:name="bookmark26"/>
      <w:bookmarkEnd w:id="40"/>
      <w:bookmarkStart w:id="41" w:name="_Toc642847263"/>
      <w:r>
        <w:rPr>
          <w:rFonts w:hint="default" w:ascii="Times New Roman" w:hAnsi="Times New Roman" w:eastAsia="方正黑体_GBK" w:cs="Times New Roman"/>
          <w:color w:val="auto"/>
          <w:spacing w:val="9"/>
          <w:sz w:val="32"/>
          <w:szCs w:val="32"/>
          <w:highlight w:val="none"/>
          <w:lang w:eastAsia="zh-CN"/>
        </w:rPr>
        <w:t>十一、关于202</w:t>
      </w:r>
      <w:r>
        <w:rPr>
          <w:rFonts w:hint="default" w:ascii="Times New Roman" w:hAnsi="Times New Roman" w:eastAsia="方正黑体_GBK" w:cs="Times New Roman"/>
          <w:color w:val="auto"/>
          <w:spacing w:val="9"/>
          <w:sz w:val="32"/>
          <w:szCs w:val="32"/>
          <w:highlight w:val="none"/>
          <w:lang w:val="en-US" w:eastAsia="zh-CN"/>
        </w:rPr>
        <w:t>5</w:t>
      </w:r>
      <w:r>
        <w:rPr>
          <w:rFonts w:hint="default" w:ascii="Times New Roman" w:hAnsi="Times New Roman" w:eastAsia="方正黑体_GBK" w:cs="Times New Roman"/>
          <w:color w:val="auto"/>
          <w:spacing w:val="9"/>
          <w:sz w:val="32"/>
          <w:szCs w:val="32"/>
          <w:highlight w:val="none"/>
          <w:lang w:eastAsia="zh-CN"/>
        </w:rPr>
        <w:t>年度绩效评价情况的说明</w:t>
      </w:r>
      <w:bookmarkEnd w:id="41"/>
    </w:p>
    <w:p>
      <w:pPr>
        <w:keepNext w:val="0"/>
        <w:keepLines w:val="0"/>
        <w:pageBreakBefore w:val="0"/>
        <w:widowControl/>
        <w:kinsoku/>
        <w:wordWrap/>
        <w:overflowPunct/>
        <w:topLinePunct w:val="0"/>
        <w:autoSpaceDE w:val="0"/>
        <w:autoSpaceDN w:val="0"/>
        <w:bidi w:val="0"/>
        <w:adjustRightInd w:val="0"/>
        <w:snapToGrid w:val="0"/>
        <w:spacing w:line="550" w:lineRule="exact"/>
        <w:ind w:left="0" w:firstLine="684" w:firstLineChars="200"/>
        <w:textAlignment w:val="baseline"/>
        <w:outlineLvl w:val="9"/>
        <w:rPr>
          <w:rFonts w:hint="default" w:ascii="Times New Roman" w:hAnsi="Times New Roman" w:eastAsia="方正楷体_GBK" w:cs="Times New Roman"/>
          <w:b w:val="0"/>
          <w:bCs w:val="0"/>
          <w:color w:val="auto"/>
          <w:sz w:val="32"/>
          <w:szCs w:val="32"/>
          <w:highlight w:val="none"/>
        </w:rPr>
      </w:pPr>
      <w:bookmarkStart w:id="42" w:name="_Toc1231291882"/>
      <w:r>
        <w:rPr>
          <w:rFonts w:hint="default" w:ascii="Times New Roman" w:hAnsi="Times New Roman" w:eastAsia="方正楷体_GBK" w:cs="Times New Roman"/>
          <w:b w:val="0"/>
          <w:bCs w:val="0"/>
          <w:color w:val="auto"/>
          <w:spacing w:val="11"/>
          <w:sz w:val="32"/>
          <w:szCs w:val="32"/>
          <w:highlight w:val="none"/>
        </w:rPr>
        <w:t>（一）绩效评价工作开展情况</w:t>
      </w:r>
      <w:bookmarkEnd w:id="42"/>
    </w:p>
    <w:p>
      <w:pPr>
        <w:keepNext w:val="0"/>
        <w:keepLines w:val="0"/>
        <w:pageBreakBefore w:val="0"/>
        <w:widowControl/>
        <w:kinsoku/>
        <w:wordWrap/>
        <w:overflowPunct/>
        <w:topLinePunct w:val="0"/>
        <w:autoSpaceDE w:val="0"/>
        <w:autoSpaceDN w:val="0"/>
        <w:bidi w:val="0"/>
        <w:adjustRightInd w:val="0"/>
        <w:snapToGrid w:val="0"/>
        <w:spacing w:line="550" w:lineRule="exact"/>
        <w:ind w:left="0" w:right="0" w:firstLine="641"/>
        <w:jc w:val="both"/>
        <w:textAlignment w:val="baseline"/>
        <w:rPr>
          <w:rFonts w:hint="eastAsia" w:ascii="方正仿宋_GBK" w:hAnsi="方正仿宋_GBK" w:eastAsia="方正仿宋_GBK" w:cs="方正仿宋_GBK"/>
          <w:snapToGrid w:val="0"/>
          <w:color w:val="auto"/>
          <w:spacing w:val="3"/>
          <w:kern w:val="0"/>
          <w:sz w:val="31"/>
          <w:szCs w:val="31"/>
          <w:lang w:val="en-US" w:eastAsia="zh-CN" w:bidi="ar-SA"/>
        </w:rPr>
      </w:pPr>
      <w:bookmarkStart w:id="43" w:name="_Toc1131023706"/>
      <w:r>
        <w:rPr>
          <w:rFonts w:hint="eastAsia" w:ascii="方正仿宋_GBK" w:hAnsi="方正仿宋_GBK" w:eastAsia="方正仿宋_GBK" w:cs="方正仿宋_GBK"/>
          <w:snapToGrid w:val="0"/>
          <w:color w:val="auto"/>
          <w:spacing w:val="3"/>
          <w:kern w:val="0"/>
          <w:sz w:val="31"/>
          <w:szCs w:val="31"/>
          <w:lang w:val="en-US" w:eastAsia="zh-CN" w:bidi="ar-SA"/>
        </w:rPr>
        <w:t>根据预算绩效管理要求，资兴市消防救援大队组织对2025年度一般公共预算项目支出全面开展绩效自评。</w:t>
      </w:r>
      <w:r>
        <w:rPr>
          <w:rFonts w:hint="default" w:ascii="方正仿宋_GBK" w:hAnsi="方正仿宋_GBK" w:eastAsia="方正仿宋_GBK" w:cs="方正仿宋_GBK"/>
          <w:snapToGrid w:val="0"/>
          <w:color w:val="auto"/>
          <w:spacing w:val="3"/>
          <w:kern w:val="0"/>
          <w:sz w:val="31"/>
          <w:szCs w:val="31"/>
          <w:lang w:val="en-US" w:eastAsia="zh-CN" w:bidi="ar-SA"/>
        </w:rPr>
        <w:t>2025年</w:t>
      </w:r>
      <w:r>
        <w:rPr>
          <w:rFonts w:hint="eastAsia" w:ascii="方正仿宋_GBK" w:hAnsi="方正仿宋_GBK" w:eastAsia="方正仿宋_GBK" w:cs="方正仿宋_GBK"/>
          <w:snapToGrid w:val="0"/>
          <w:color w:val="auto"/>
          <w:spacing w:val="3"/>
          <w:kern w:val="0"/>
          <w:sz w:val="31"/>
          <w:szCs w:val="31"/>
          <w:lang w:val="en-US" w:eastAsia="zh-CN" w:bidi="ar-SA"/>
        </w:rPr>
        <w:t>度</w:t>
      </w:r>
      <w:r>
        <w:rPr>
          <w:rFonts w:hint="default" w:ascii="方正仿宋_GBK" w:hAnsi="方正仿宋_GBK" w:eastAsia="方正仿宋_GBK" w:cs="方正仿宋_GBK"/>
          <w:snapToGrid w:val="0"/>
          <w:color w:val="auto"/>
          <w:spacing w:val="3"/>
          <w:kern w:val="0"/>
          <w:sz w:val="31"/>
          <w:szCs w:val="31"/>
          <w:lang w:val="en-US" w:eastAsia="zh-CN" w:bidi="ar-SA"/>
        </w:rPr>
        <w:t>年初批复项目</w:t>
      </w:r>
      <w:r>
        <w:rPr>
          <w:rFonts w:hint="eastAsia" w:ascii="方正仿宋_GBK" w:hAnsi="方正仿宋_GBK" w:eastAsia="方正仿宋_GBK" w:cs="方正仿宋_GBK"/>
          <w:snapToGrid w:val="0"/>
          <w:color w:val="auto"/>
          <w:spacing w:val="3"/>
          <w:kern w:val="0"/>
          <w:sz w:val="31"/>
          <w:szCs w:val="31"/>
          <w:lang w:val="en-US" w:eastAsia="zh-CN" w:bidi="ar-SA"/>
        </w:rPr>
        <w:t>5</w:t>
      </w:r>
      <w:r>
        <w:rPr>
          <w:rFonts w:hint="default" w:ascii="方正仿宋_GBK" w:hAnsi="方正仿宋_GBK" w:eastAsia="方正仿宋_GBK" w:cs="方正仿宋_GBK"/>
          <w:snapToGrid w:val="0"/>
          <w:color w:val="auto"/>
          <w:spacing w:val="3"/>
          <w:kern w:val="0"/>
          <w:sz w:val="31"/>
          <w:szCs w:val="31"/>
          <w:lang w:val="en-US" w:eastAsia="zh-CN" w:bidi="ar-SA"/>
        </w:rPr>
        <w:t>个，年中调剂</w:t>
      </w:r>
      <w:r>
        <w:rPr>
          <w:rFonts w:hint="eastAsia" w:ascii="方正仿宋_GBK" w:hAnsi="方正仿宋_GBK" w:eastAsia="方正仿宋_GBK" w:cs="方正仿宋_GBK"/>
          <w:snapToGrid w:val="0"/>
          <w:color w:val="auto"/>
          <w:spacing w:val="3"/>
          <w:kern w:val="0"/>
          <w:sz w:val="31"/>
          <w:szCs w:val="31"/>
          <w:lang w:val="en-US" w:eastAsia="zh-CN" w:bidi="ar-SA"/>
        </w:rPr>
        <w:t>减少1</w:t>
      </w:r>
      <w:r>
        <w:rPr>
          <w:rFonts w:hint="default" w:ascii="方正仿宋_GBK" w:hAnsi="方正仿宋_GBK" w:eastAsia="方正仿宋_GBK" w:cs="方正仿宋_GBK"/>
          <w:snapToGrid w:val="0"/>
          <w:color w:val="auto"/>
          <w:spacing w:val="3"/>
          <w:kern w:val="0"/>
          <w:sz w:val="31"/>
          <w:szCs w:val="31"/>
          <w:lang w:val="en-US" w:eastAsia="zh-CN" w:bidi="ar-SA"/>
        </w:rPr>
        <w:t>个，共纳入预算管理项目</w:t>
      </w:r>
      <w:r>
        <w:rPr>
          <w:rFonts w:hint="eastAsia" w:ascii="方正仿宋_GBK" w:hAnsi="方正仿宋_GBK" w:eastAsia="方正仿宋_GBK" w:cs="方正仿宋_GBK"/>
          <w:snapToGrid w:val="0"/>
          <w:color w:val="auto"/>
          <w:spacing w:val="3"/>
          <w:kern w:val="0"/>
          <w:sz w:val="31"/>
          <w:szCs w:val="31"/>
          <w:lang w:val="en-US" w:eastAsia="zh-CN" w:bidi="ar-SA"/>
        </w:rPr>
        <w:t>4</w:t>
      </w:r>
      <w:r>
        <w:rPr>
          <w:rFonts w:hint="default" w:ascii="方正仿宋_GBK" w:hAnsi="方正仿宋_GBK" w:eastAsia="方正仿宋_GBK" w:cs="方正仿宋_GBK"/>
          <w:snapToGrid w:val="0"/>
          <w:color w:val="auto"/>
          <w:spacing w:val="3"/>
          <w:kern w:val="0"/>
          <w:sz w:val="31"/>
          <w:szCs w:val="31"/>
          <w:lang w:val="en-US" w:eastAsia="zh-CN" w:bidi="ar-SA"/>
        </w:rPr>
        <w:t>个</w:t>
      </w:r>
      <w:r>
        <w:rPr>
          <w:rFonts w:hint="eastAsia" w:ascii="方正仿宋_GBK" w:hAnsi="方正仿宋_GBK" w:eastAsia="方正仿宋_GBK" w:cs="方正仿宋_GBK"/>
          <w:snapToGrid w:val="0"/>
          <w:color w:val="auto"/>
          <w:spacing w:val="3"/>
          <w:kern w:val="0"/>
          <w:sz w:val="31"/>
          <w:szCs w:val="31"/>
          <w:lang w:val="en-US" w:eastAsia="zh-CN" w:bidi="ar-SA"/>
        </w:rPr>
        <w:t>，年中预算调整后涉及资金935.22</w:t>
      </w:r>
      <w:r>
        <w:rPr>
          <w:rFonts w:hint="default" w:ascii="方正仿宋_GBK" w:hAnsi="方正仿宋_GBK" w:eastAsia="方正仿宋_GBK" w:cs="方正仿宋_GBK"/>
          <w:snapToGrid w:val="0"/>
          <w:color w:val="auto"/>
          <w:spacing w:val="3"/>
          <w:kern w:val="0"/>
          <w:sz w:val="31"/>
          <w:szCs w:val="31"/>
          <w:lang w:val="en-US" w:eastAsia="zh-CN" w:bidi="ar-SA"/>
        </w:rPr>
        <w:t>万元。根据年度实际执行情况，参与绩效自评项目</w:t>
      </w:r>
      <w:r>
        <w:rPr>
          <w:rFonts w:hint="eastAsia" w:ascii="方正仿宋_GBK" w:hAnsi="方正仿宋_GBK" w:eastAsia="方正仿宋_GBK" w:cs="方正仿宋_GBK"/>
          <w:snapToGrid w:val="0"/>
          <w:color w:val="auto"/>
          <w:spacing w:val="3"/>
          <w:kern w:val="0"/>
          <w:sz w:val="31"/>
          <w:szCs w:val="31"/>
          <w:lang w:val="en-US" w:eastAsia="zh-CN" w:bidi="ar-SA"/>
        </w:rPr>
        <w:t>4</w:t>
      </w:r>
      <w:r>
        <w:rPr>
          <w:rFonts w:hint="default" w:ascii="方正仿宋_GBK" w:hAnsi="方正仿宋_GBK" w:eastAsia="方正仿宋_GBK" w:cs="方正仿宋_GBK"/>
          <w:snapToGrid w:val="0"/>
          <w:color w:val="auto"/>
          <w:spacing w:val="3"/>
          <w:kern w:val="0"/>
          <w:sz w:val="31"/>
          <w:szCs w:val="31"/>
          <w:lang w:val="en-US" w:eastAsia="zh-CN" w:bidi="ar-SA"/>
        </w:rPr>
        <w:t>个</w:t>
      </w:r>
      <w:r>
        <w:rPr>
          <w:rFonts w:hint="eastAsia" w:ascii="方正仿宋_GBK" w:hAnsi="方正仿宋_GBK" w:eastAsia="方正仿宋_GBK" w:cs="方正仿宋_GBK"/>
          <w:snapToGrid w:val="0"/>
          <w:color w:val="auto"/>
          <w:spacing w:val="3"/>
          <w:kern w:val="0"/>
          <w:sz w:val="31"/>
          <w:szCs w:val="31"/>
          <w:lang w:val="en-US" w:eastAsia="zh-CN" w:bidi="ar-SA"/>
        </w:rPr>
        <w:t>，占一般公共预算项目支出总额的100%。</w:t>
      </w:r>
    </w:p>
    <w:p>
      <w:pPr>
        <w:keepNext w:val="0"/>
        <w:keepLines w:val="0"/>
        <w:pageBreakBefore w:val="0"/>
        <w:widowControl/>
        <w:kinsoku/>
        <w:wordWrap/>
        <w:overflowPunct/>
        <w:topLinePunct w:val="0"/>
        <w:autoSpaceDE w:val="0"/>
        <w:autoSpaceDN w:val="0"/>
        <w:bidi w:val="0"/>
        <w:adjustRightInd w:val="0"/>
        <w:snapToGrid w:val="0"/>
        <w:spacing w:line="550" w:lineRule="exact"/>
        <w:ind w:firstLine="640" w:firstLineChars="200"/>
        <w:jc w:val="left"/>
        <w:textAlignment w:val="baseline"/>
        <w:outlineLvl w:val="9"/>
        <w:rPr>
          <w:rFonts w:ascii="Times New Roman" w:hAnsi="Times New Roman" w:eastAsia="方正楷体_GBK"/>
          <w:b w:val="0"/>
          <w:bCs/>
          <w:kern w:val="0"/>
          <w:sz w:val="32"/>
          <w:szCs w:val="32"/>
          <w:highlight w:val="none"/>
        </w:rPr>
      </w:pPr>
      <w:r>
        <w:rPr>
          <w:rFonts w:ascii="Times New Roman" w:hAnsi="Times New Roman" w:eastAsia="方正楷体_GBK"/>
          <w:b w:val="0"/>
          <w:bCs/>
          <w:kern w:val="0"/>
          <w:sz w:val="32"/>
          <w:szCs w:val="32"/>
          <w:highlight w:val="none"/>
        </w:rPr>
        <w:t>（二）项目绩效自评结果</w:t>
      </w:r>
      <w:bookmarkEnd w:id="43"/>
    </w:p>
    <w:p>
      <w:pPr>
        <w:keepNext w:val="0"/>
        <w:keepLines w:val="0"/>
        <w:pageBreakBefore w:val="0"/>
        <w:widowControl/>
        <w:kinsoku/>
        <w:wordWrap/>
        <w:overflowPunct/>
        <w:topLinePunct w:val="0"/>
        <w:autoSpaceDE w:val="0"/>
        <w:autoSpaceDN w:val="0"/>
        <w:bidi w:val="0"/>
        <w:adjustRightInd w:val="0"/>
        <w:snapToGrid w:val="0"/>
        <w:spacing w:line="550" w:lineRule="exact"/>
        <w:ind w:left="0" w:right="0" w:firstLine="641"/>
        <w:jc w:val="both"/>
        <w:textAlignment w:val="baseline"/>
        <w:rPr>
          <w:rFonts w:hint="eastAsia" w:ascii="方正仿宋_GBK" w:hAnsi="方正仿宋_GBK" w:eastAsia="方正仿宋_GBK" w:cs="方正仿宋_GBK"/>
          <w:snapToGrid w:val="0"/>
          <w:color w:val="auto"/>
          <w:spacing w:val="3"/>
          <w:kern w:val="0"/>
          <w:sz w:val="31"/>
          <w:szCs w:val="31"/>
          <w:lang w:val="en-US" w:eastAsia="zh-CN" w:bidi="ar-SA"/>
        </w:rPr>
      </w:pPr>
      <w:bookmarkStart w:id="44" w:name="_Toc1149811957"/>
      <w:r>
        <w:rPr>
          <w:rFonts w:hint="eastAsia" w:ascii="方正仿宋_GBK" w:hAnsi="方正仿宋_GBK" w:eastAsia="方正仿宋_GBK" w:cs="方正仿宋_GBK"/>
          <w:snapToGrid w:val="0"/>
          <w:color w:val="auto"/>
          <w:spacing w:val="3"/>
          <w:kern w:val="0"/>
          <w:sz w:val="31"/>
          <w:szCs w:val="31"/>
          <w:lang w:val="en-US" w:eastAsia="zh-CN" w:bidi="ar-SA"/>
        </w:rPr>
        <w:t>1．服装护具及伙食补助项目</w:t>
      </w:r>
      <w:bookmarkEnd w:id="44"/>
    </w:p>
    <w:p>
      <w:pPr>
        <w:keepNext w:val="0"/>
        <w:keepLines w:val="0"/>
        <w:pageBreakBefore w:val="0"/>
        <w:widowControl/>
        <w:kinsoku/>
        <w:wordWrap/>
        <w:overflowPunct/>
        <w:topLinePunct w:val="0"/>
        <w:autoSpaceDE w:val="0"/>
        <w:autoSpaceDN w:val="0"/>
        <w:bidi w:val="0"/>
        <w:adjustRightInd w:val="0"/>
        <w:snapToGrid w:val="0"/>
        <w:spacing w:line="550" w:lineRule="exact"/>
        <w:ind w:left="0" w:right="0" w:firstLine="641"/>
        <w:jc w:val="both"/>
        <w:textAlignment w:val="baseline"/>
        <w:rPr>
          <w:rFonts w:hint="eastAsia" w:ascii="方正仿宋_GBK" w:hAnsi="方正仿宋_GBK" w:eastAsia="方正仿宋_GBK" w:cs="方正仿宋_GBK"/>
          <w:snapToGrid w:val="0"/>
          <w:color w:val="auto"/>
          <w:spacing w:val="3"/>
          <w:kern w:val="0"/>
          <w:sz w:val="31"/>
          <w:szCs w:val="31"/>
          <w:lang w:val="en-US" w:eastAsia="zh-CN" w:bidi="ar-SA"/>
        </w:rPr>
      </w:pPr>
      <w:r>
        <w:rPr>
          <w:rFonts w:hint="eastAsia" w:ascii="方正仿宋_GBK" w:hAnsi="方正仿宋_GBK" w:eastAsia="方正仿宋_GBK" w:cs="方正仿宋_GBK"/>
          <w:snapToGrid w:val="0"/>
          <w:color w:val="auto"/>
          <w:spacing w:val="3"/>
          <w:kern w:val="0"/>
          <w:sz w:val="31"/>
          <w:szCs w:val="31"/>
          <w:lang w:val="en-US" w:eastAsia="zh-CN" w:bidi="ar-SA"/>
        </w:rPr>
        <w:t>绩效自评综述：该类项目为各级按照现行伙食费保障标准和政策要求申报的伙食费专项资金。根据年初设定的绩效目标，项目自评得分均在良好以上。2025年度，我大队共编报该类项目1个，全年预算45.01万元，全年实际支出45.01万元，预算执行率100%。项目绩效目标完成情况：严格按标准保障伙食，确保队伍消防救援人员吃饱吃好吃出战斗力。</w:t>
      </w:r>
    </w:p>
    <w:p>
      <w:pPr>
        <w:keepNext w:val="0"/>
        <w:keepLines w:val="0"/>
        <w:pageBreakBefore w:val="0"/>
        <w:widowControl/>
        <w:kinsoku/>
        <w:wordWrap/>
        <w:overflowPunct/>
        <w:topLinePunct w:val="0"/>
        <w:autoSpaceDE w:val="0"/>
        <w:autoSpaceDN w:val="0"/>
        <w:bidi w:val="0"/>
        <w:adjustRightInd w:val="0"/>
        <w:snapToGrid w:val="0"/>
        <w:spacing w:line="550" w:lineRule="exact"/>
        <w:ind w:left="0" w:right="0" w:firstLine="641"/>
        <w:jc w:val="both"/>
        <w:textAlignment w:val="baseline"/>
        <w:rPr>
          <w:rFonts w:hint="default" w:ascii="方正仿宋_GBK" w:hAnsi="方正仿宋_GBK" w:eastAsia="方正仿宋_GBK" w:cs="方正仿宋_GBK"/>
          <w:snapToGrid w:val="0"/>
          <w:color w:val="auto"/>
          <w:spacing w:val="3"/>
          <w:kern w:val="0"/>
          <w:sz w:val="31"/>
          <w:szCs w:val="31"/>
          <w:lang w:val="en-US" w:eastAsia="zh-CN" w:bidi="ar-SA"/>
        </w:rPr>
      </w:pPr>
      <w:bookmarkStart w:id="45" w:name="_Toc2085367815"/>
      <w:r>
        <w:rPr>
          <w:rFonts w:hint="eastAsia" w:ascii="方正仿宋_GBK" w:hAnsi="方正仿宋_GBK" w:eastAsia="方正仿宋_GBK" w:cs="方正仿宋_GBK"/>
          <w:snapToGrid w:val="0"/>
          <w:color w:val="auto"/>
          <w:spacing w:val="3"/>
          <w:kern w:val="0"/>
          <w:sz w:val="31"/>
          <w:szCs w:val="31"/>
          <w:lang w:val="en-US" w:eastAsia="zh-CN" w:bidi="ar-SA"/>
        </w:rPr>
        <w:t>2．综合性消防救援专项项目</w:t>
      </w:r>
      <w:bookmarkEnd w:id="45"/>
    </w:p>
    <w:p>
      <w:pPr>
        <w:keepNext w:val="0"/>
        <w:keepLines w:val="0"/>
        <w:pageBreakBefore w:val="0"/>
        <w:widowControl/>
        <w:kinsoku/>
        <w:wordWrap/>
        <w:overflowPunct/>
        <w:topLinePunct w:val="0"/>
        <w:autoSpaceDE w:val="0"/>
        <w:autoSpaceDN w:val="0"/>
        <w:bidi w:val="0"/>
        <w:adjustRightInd w:val="0"/>
        <w:snapToGrid w:val="0"/>
        <w:spacing w:line="550" w:lineRule="exact"/>
        <w:ind w:left="0" w:right="0" w:firstLine="641"/>
        <w:jc w:val="both"/>
        <w:textAlignment w:val="baseline"/>
        <w:rPr>
          <w:rFonts w:hint="eastAsia" w:ascii="方正仿宋_GBK" w:hAnsi="方正仿宋_GBK" w:eastAsia="方正仿宋_GBK" w:cs="方正仿宋_GBK"/>
          <w:snapToGrid w:val="0"/>
          <w:color w:val="auto"/>
          <w:spacing w:val="3"/>
          <w:kern w:val="0"/>
          <w:sz w:val="31"/>
          <w:szCs w:val="31"/>
          <w:lang w:val="en-US" w:eastAsia="zh-CN" w:bidi="ar-SA"/>
        </w:rPr>
      </w:pPr>
      <w:r>
        <w:rPr>
          <w:rFonts w:hint="eastAsia" w:ascii="方正仿宋_GBK" w:hAnsi="方正仿宋_GBK" w:eastAsia="方正仿宋_GBK" w:cs="方正仿宋_GBK"/>
          <w:snapToGrid w:val="0"/>
          <w:color w:val="auto"/>
          <w:spacing w:val="3"/>
          <w:kern w:val="0"/>
          <w:sz w:val="31"/>
          <w:szCs w:val="31"/>
          <w:lang w:val="en-US" w:eastAsia="zh-CN" w:bidi="ar-SA"/>
        </w:rPr>
        <w:t>该类项目主要为申报政府专职消防员经费和新消防站配套设施采购项目。2025年度我队共编报该类项目2个，全年预算690.13万元，全年实际支出621.98万元，预算执行率90.13%。项目有效保障了政府专职消防员和新消防站配套设施采购项目经费，完成新消防站配套设施采购和城乡火灾扑救、特种灾害救援和防火执勤、消防安保等任务。</w:t>
      </w:r>
    </w:p>
    <w:p>
      <w:pPr>
        <w:keepNext w:val="0"/>
        <w:keepLines w:val="0"/>
        <w:pageBreakBefore w:val="0"/>
        <w:widowControl/>
        <w:kinsoku/>
        <w:wordWrap/>
        <w:overflowPunct/>
        <w:topLinePunct w:val="0"/>
        <w:autoSpaceDE w:val="0"/>
        <w:autoSpaceDN w:val="0"/>
        <w:bidi w:val="0"/>
        <w:adjustRightInd w:val="0"/>
        <w:snapToGrid w:val="0"/>
        <w:spacing w:line="550" w:lineRule="exact"/>
        <w:ind w:left="0" w:right="0" w:firstLine="641"/>
        <w:jc w:val="both"/>
        <w:textAlignment w:val="baseline"/>
        <w:rPr>
          <w:rFonts w:hint="eastAsia" w:ascii="方正仿宋_GBK" w:hAnsi="方正仿宋_GBK" w:eastAsia="方正仿宋_GBK" w:cs="方正仿宋_GBK"/>
          <w:snapToGrid w:val="0"/>
          <w:color w:val="auto"/>
          <w:spacing w:val="3"/>
          <w:kern w:val="0"/>
          <w:sz w:val="31"/>
          <w:szCs w:val="31"/>
          <w:lang w:val="en-US" w:eastAsia="zh-CN" w:bidi="ar-SA"/>
        </w:rPr>
      </w:pPr>
      <w:bookmarkStart w:id="46" w:name="_Toc573521799"/>
      <w:r>
        <w:rPr>
          <w:rFonts w:hint="eastAsia" w:ascii="方正仿宋_GBK" w:hAnsi="方正仿宋_GBK" w:eastAsia="方正仿宋_GBK" w:cs="方正仿宋_GBK"/>
          <w:snapToGrid w:val="0"/>
          <w:color w:val="auto"/>
          <w:spacing w:val="3"/>
          <w:kern w:val="0"/>
          <w:sz w:val="31"/>
          <w:szCs w:val="31"/>
          <w:lang w:val="en-US" w:eastAsia="zh-CN" w:bidi="ar-SA"/>
        </w:rPr>
        <w:t>3．装备购置项目</w:t>
      </w:r>
      <w:bookmarkEnd w:id="46"/>
    </w:p>
    <w:p>
      <w:pPr>
        <w:keepNext w:val="0"/>
        <w:keepLines w:val="0"/>
        <w:pageBreakBefore w:val="0"/>
        <w:widowControl/>
        <w:kinsoku/>
        <w:wordWrap/>
        <w:overflowPunct/>
        <w:topLinePunct w:val="0"/>
        <w:autoSpaceDE w:val="0"/>
        <w:autoSpaceDN w:val="0"/>
        <w:bidi w:val="0"/>
        <w:adjustRightInd w:val="0"/>
        <w:snapToGrid w:val="0"/>
        <w:spacing w:line="550" w:lineRule="exact"/>
        <w:ind w:left="0" w:right="0" w:firstLine="641"/>
        <w:jc w:val="both"/>
        <w:textAlignment w:val="baseline"/>
        <w:rPr>
          <w:rFonts w:hint="eastAsia" w:ascii="方正仿宋_GBK" w:hAnsi="方正仿宋_GBK" w:eastAsia="方正仿宋_GBK" w:cs="方正仿宋_GBK"/>
          <w:snapToGrid w:val="0"/>
          <w:color w:val="auto"/>
          <w:spacing w:val="3"/>
          <w:kern w:val="0"/>
          <w:sz w:val="31"/>
          <w:szCs w:val="31"/>
          <w:lang w:val="en-US" w:eastAsia="zh-CN" w:bidi="ar-SA"/>
        </w:rPr>
      </w:pPr>
      <w:r>
        <w:rPr>
          <w:rFonts w:hint="eastAsia" w:ascii="方正仿宋_GBK" w:hAnsi="方正仿宋_GBK" w:eastAsia="方正仿宋_GBK" w:cs="方正仿宋_GBK"/>
          <w:snapToGrid w:val="0"/>
          <w:color w:val="auto"/>
          <w:spacing w:val="3"/>
          <w:kern w:val="0"/>
          <w:sz w:val="31"/>
          <w:szCs w:val="31"/>
          <w:lang w:val="en-US" w:eastAsia="zh-CN" w:bidi="ar-SA"/>
        </w:rPr>
        <w:t>该类项目主要是为提升队伍装备现代化水平，根据大队实际需求，用于购置抢险救援器材、个人防护装备等的专项资金。2025年度我队共编报该类项目1个，全年预算200.08万元，全年实际支出21.65万元，预算执行率10.82%。完成防火灭火、信息通信、特种救援和综合保障装备购置，为队伍履行任务提供了有力的装备支撑。存在的问题及原因：装备采购项目因技术参数复杂、供应商履约能力不足等导致多次流标或延迟交付。预算编制还不够科学，消防装备市场竞争激烈，导致采购结余资金较大。下一步改进措施：加强前期市场调研，提升预算编制质量；在执行过程中加强监控监督，及时整改问题调整预算；加强对项目全过程管控，切实加强对项目资金的监督管理，及时按合同约定支付进度款项，合理加快项目建设经费预算执行进度。</w:t>
      </w:r>
    </w:p>
    <w:p>
      <w:pPr>
        <w:keepNext w:val="0"/>
        <w:keepLines w:val="0"/>
        <w:pageBreakBefore w:val="0"/>
        <w:widowControl/>
        <w:kinsoku/>
        <w:wordWrap/>
        <w:topLinePunct w:val="0"/>
        <w:bidi w:val="0"/>
        <w:spacing w:line="540" w:lineRule="exact"/>
        <w:ind w:firstLine="640" w:firstLineChars="200"/>
        <w:jc w:val="left"/>
        <w:outlineLvl w:val="9"/>
        <w:rPr>
          <w:rFonts w:hint="eastAsia" w:ascii="Times New Roman" w:hAnsi="Times New Roman" w:eastAsia="方正楷体_GBK"/>
          <w:b w:val="0"/>
          <w:bCs/>
          <w:kern w:val="0"/>
          <w:sz w:val="32"/>
          <w:szCs w:val="32"/>
          <w:highlight w:val="none"/>
          <w:lang w:val="en-US" w:eastAsia="zh-CN"/>
        </w:rPr>
      </w:pPr>
      <w:r>
        <w:rPr>
          <w:rFonts w:hint="eastAsia" w:ascii="Times New Roman" w:hAnsi="Times New Roman" w:eastAsia="方正楷体_GBK"/>
          <w:b w:val="0"/>
          <w:bCs/>
          <w:kern w:val="0"/>
          <w:sz w:val="32"/>
          <w:szCs w:val="32"/>
          <w:highlight w:val="none"/>
          <w:lang w:val="en-US" w:eastAsia="zh-CN"/>
        </w:rPr>
        <w:t>（三）部分项目绩效自评表</w:t>
      </w:r>
    </w:p>
    <w:p>
      <w:pPr>
        <w:keepNext w:val="0"/>
        <w:keepLines w:val="0"/>
        <w:pageBreakBefore w:val="0"/>
        <w:widowControl/>
        <w:kinsoku/>
        <w:wordWrap/>
        <w:topLinePunct w:val="0"/>
        <w:bidi w:val="0"/>
        <w:adjustRightInd w:val="0"/>
        <w:snapToGrid w:val="0"/>
        <w:spacing w:line="600" w:lineRule="exact"/>
        <w:ind w:left="0" w:right="0" w:firstLine="640" w:firstLineChars="200"/>
        <w:jc w:val="both"/>
        <w:textAlignment w:val="baseline"/>
        <w:rPr>
          <w:rFonts w:hint="eastAsia" w:ascii="方正仿宋_GBK" w:hAnsi="方正仿宋_GBK" w:eastAsia="方正仿宋_GBK" w:cs="方正仿宋_GBK"/>
          <w:b w:val="0"/>
          <w:bCs w:val="0"/>
          <w:color w:val="auto"/>
          <w:sz w:val="32"/>
          <w:szCs w:val="32"/>
          <w:highlight w:val="none"/>
        </w:rPr>
      </w:pPr>
    </w:p>
    <w:p>
      <w:pPr>
        <w:pStyle w:val="2"/>
        <w:rPr>
          <w:rFonts w:hint="eastAsia"/>
        </w:rPr>
      </w:pPr>
    </w:p>
    <w:p>
      <w:pPr>
        <w:pStyle w:val="2"/>
        <w:keepNext w:val="0"/>
        <w:keepLines w:val="0"/>
        <w:pageBreakBefore w:val="0"/>
        <w:widowControl/>
        <w:kinsoku/>
        <w:wordWrap/>
        <w:topLinePunct w:val="0"/>
        <w:bidi w:val="0"/>
        <w:ind w:left="0" w:leftChars="0" w:firstLine="0" w:firstLineChars="0"/>
        <w:rPr>
          <w:rFonts w:hint="eastAsia" w:ascii="方正仿宋_GBK" w:hAnsi="方正仿宋_GBK" w:eastAsia="方正仿宋_GBK" w:cs="方正仿宋_GBK"/>
          <w:b w:val="0"/>
          <w:bCs w:val="0"/>
          <w:color w:val="auto"/>
          <w:sz w:val="32"/>
          <w:szCs w:val="32"/>
          <w:highlight w:val="none"/>
          <w:lang w:eastAsia="zh-CN"/>
        </w:rPr>
      </w:pPr>
    </w:p>
    <w:tbl>
      <w:tblPr>
        <w:tblStyle w:val="11"/>
        <w:tblpPr w:leftFromText="180" w:rightFromText="180" w:vertAnchor="text" w:horzAnchor="page" w:tblpX="1628" w:tblpY="226"/>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8"/>
        <w:gridCol w:w="917"/>
        <w:gridCol w:w="1230"/>
        <w:gridCol w:w="762"/>
        <w:gridCol w:w="791"/>
        <w:gridCol w:w="1012"/>
        <w:gridCol w:w="913"/>
        <w:gridCol w:w="592"/>
        <w:gridCol w:w="847"/>
        <w:gridCol w:w="956"/>
        <w:gridCol w:w="6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000" w:type="pct"/>
            <w:gridSpan w:val="11"/>
            <w:tcBorders>
              <w:top w:val="nil"/>
              <w:left w:val="nil"/>
              <w:bottom w:val="nil"/>
              <w:right w:val="nil"/>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val="0"/>
                <w:bCs w:val="0"/>
                <w:i w:val="0"/>
                <w:iCs w:val="0"/>
                <w:snapToGrid w:val="0"/>
                <w:color w:val="000000"/>
                <w:kern w:val="0"/>
                <w:sz w:val="32"/>
                <w:szCs w:val="32"/>
                <w:u w:val="none"/>
                <w:lang w:val="en-US" w:eastAsia="zh-CN" w:bidi="ar"/>
              </w:rPr>
              <w:t>郴州支队资兴大队伙食补助费项目绩效自评表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0" w:type="pct"/>
            <w:gridSpan w:val="11"/>
            <w:tcBorders>
              <w:top w:val="nil"/>
              <w:left w:val="nil"/>
              <w:bottom w:val="nil"/>
              <w:right w:val="nil"/>
            </w:tcBorders>
            <w:shd w:val="clear" w:color="auto" w:fill="auto"/>
            <w:noWrap/>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w:t>
            </w:r>
            <w:r>
              <w:rPr>
                <w:rFonts w:hint="eastAsia" w:ascii="宋体" w:hAnsi="宋体" w:cs="宋体"/>
                <w:i w:val="0"/>
                <w:iCs w:val="0"/>
                <w:snapToGrid w:val="0"/>
                <w:color w:val="000000"/>
                <w:kern w:val="0"/>
                <w:sz w:val="22"/>
                <w:szCs w:val="22"/>
                <w:u w:val="none"/>
                <w:lang w:val="en-US" w:eastAsia="zh-CN" w:bidi="ar"/>
              </w:rPr>
              <w:t>5</w:t>
            </w:r>
            <w:r>
              <w:rPr>
                <w:rFonts w:hint="eastAsia" w:ascii="宋体" w:hAnsi="宋体" w:eastAsia="宋体" w:cs="宋体"/>
                <w:i w:val="0"/>
                <w:iCs w:val="0"/>
                <w:snapToGrid w:val="0"/>
                <w:color w:val="000000"/>
                <w:kern w:val="0"/>
                <w:sz w:val="22"/>
                <w:szCs w:val="22"/>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19" w:type="pct"/>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jc w:val="center"/>
              <w:rPr>
                <w:rFonts w:hint="eastAsia" w:ascii="Arial" w:hAnsi="Arial" w:cs="Arial"/>
                <w:i w:val="0"/>
                <w:iCs w:val="0"/>
                <w:color w:val="000000"/>
                <w:sz w:val="20"/>
                <w:szCs w:val="20"/>
                <w:u w:val="none"/>
              </w:rPr>
            </w:pPr>
          </w:p>
        </w:tc>
        <w:tc>
          <w:tcPr>
            <w:tcW w:w="505" w:type="pct"/>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jc w:val="center"/>
              <w:rPr>
                <w:rFonts w:hint="default" w:ascii="Arial" w:hAnsi="Arial" w:cs="Arial"/>
                <w:i w:val="0"/>
                <w:iCs w:val="0"/>
                <w:color w:val="000000"/>
                <w:sz w:val="20"/>
                <w:szCs w:val="20"/>
                <w:u w:val="none"/>
              </w:rPr>
            </w:pPr>
          </w:p>
        </w:tc>
        <w:tc>
          <w:tcPr>
            <w:tcW w:w="678" w:type="pct"/>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jc w:val="center"/>
              <w:rPr>
                <w:rFonts w:hint="default" w:ascii="Arial" w:hAnsi="Arial" w:cs="Arial"/>
                <w:i w:val="0"/>
                <w:iCs w:val="0"/>
                <w:color w:val="000000"/>
                <w:sz w:val="20"/>
                <w:szCs w:val="20"/>
                <w:u w:val="none"/>
              </w:rPr>
            </w:pPr>
          </w:p>
        </w:tc>
        <w:tc>
          <w:tcPr>
            <w:tcW w:w="420" w:type="pct"/>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jc w:val="center"/>
              <w:rPr>
                <w:rFonts w:hint="default" w:ascii="Arial" w:hAnsi="Arial" w:cs="Arial"/>
                <w:i w:val="0"/>
                <w:iCs w:val="0"/>
                <w:color w:val="000000"/>
                <w:sz w:val="20"/>
                <w:szCs w:val="20"/>
                <w:u w:val="none"/>
              </w:rPr>
            </w:pPr>
          </w:p>
        </w:tc>
        <w:tc>
          <w:tcPr>
            <w:tcW w:w="436" w:type="pct"/>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jc w:val="center"/>
              <w:rPr>
                <w:rFonts w:hint="default" w:ascii="Arial" w:hAnsi="Arial" w:cs="Arial"/>
                <w:i w:val="0"/>
                <w:iCs w:val="0"/>
                <w:color w:val="000000"/>
                <w:sz w:val="20"/>
                <w:szCs w:val="20"/>
                <w:u w:val="none"/>
              </w:rPr>
            </w:pPr>
          </w:p>
        </w:tc>
        <w:tc>
          <w:tcPr>
            <w:tcW w:w="558" w:type="pct"/>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jc w:val="center"/>
              <w:rPr>
                <w:rFonts w:hint="default" w:ascii="Arial" w:hAnsi="Arial" w:cs="Arial"/>
                <w:i w:val="0"/>
                <w:iCs w:val="0"/>
                <w:color w:val="000000"/>
                <w:sz w:val="20"/>
                <w:szCs w:val="20"/>
                <w:u w:val="none"/>
              </w:rPr>
            </w:pPr>
          </w:p>
        </w:tc>
        <w:tc>
          <w:tcPr>
            <w:tcW w:w="503" w:type="pct"/>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jc w:val="center"/>
              <w:rPr>
                <w:rFonts w:hint="default" w:ascii="Arial" w:hAnsi="Arial" w:cs="Arial"/>
                <w:i w:val="0"/>
                <w:iCs w:val="0"/>
                <w:color w:val="000000"/>
                <w:sz w:val="20"/>
                <w:szCs w:val="20"/>
                <w:u w:val="none"/>
              </w:rPr>
            </w:pPr>
          </w:p>
        </w:tc>
        <w:tc>
          <w:tcPr>
            <w:tcW w:w="326" w:type="pct"/>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jc w:val="center"/>
              <w:rPr>
                <w:rFonts w:hint="default" w:ascii="Arial" w:hAnsi="Arial" w:cs="Arial"/>
                <w:i w:val="0"/>
                <w:iCs w:val="0"/>
                <w:color w:val="000000"/>
                <w:sz w:val="20"/>
                <w:szCs w:val="20"/>
                <w:u w:val="none"/>
              </w:rPr>
            </w:pPr>
          </w:p>
        </w:tc>
        <w:tc>
          <w:tcPr>
            <w:tcW w:w="467" w:type="pct"/>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jc w:val="center"/>
              <w:rPr>
                <w:rFonts w:hint="default" w:ascii="Arial" w:hAnsi="Arial" w:cs="Arial"/>
                <w:i w:val="0"/>
                <w:iCs w:val="0"/>
                <w:color w:val="000000"/>
                <w:sz w:val="20"/>
                <w:szCs w:val="20"/>
                <w:u w:val="none"/>
              </w:rPr>
            </w:pPr>
          </w:p>
        </w:tc>
        <w:tc>
          <w:tcPr>
            <w:tcW w:w="527" w:type="pct"/>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jc w:val="center"/>
              <w:rPr>
                <w:rFonts w:hint="default" w:ascii="Arial" w:hAnsi="Arial" w:cs="Arial"/>
                <w:i w:val="0"/>
                <w:iCs w:val="0"/>
                <w:color w:val="000000"/>
                <w:sz w:val="20"/>
                <w:szCs w:val="20"/>
                <w:u w:val="none"/>
              </w:rPr>
            </w:pPr>
          </w:p>
        </w:tc>
        <w:tc>
          <w:tcPr>
            <w:tcW w:w="355" w:type="pct"/>
            <w:tcBorders>
              <w:top w:val="nil"/>
              <w:left w:val="nil"/>
              <w:bottom w:val="nil"/>
              <w:right w:val="nil"/>
            </w:tcBorders>
            <w:shd w:val="clear" w:color="auto" w:fill="auto"/>
            <w:noWrap/>
            <w:vAlign w:val="center"/>
          </w:tcPr>
          <w:p>
            <w:pPr>
              <w:keepNext w:val="0"/>
              <w:keepLines w:val="0"/>
              <w:pageBreakBefore w:val="0"/>
              <w:widowControl/>
              <w:kinsoku/>
              <w:wordWrap/>
              <w:topLinePunct w:val="0"/>
              <w:bidi w:val="0"/>
              <w:jc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项目名称</w:t>
            </w:r>
          </w:p>
        </w:tc>
        <w:tc>
          <w:tcPr>
            <w:tcW w:w="4274"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郴州支队资兴大队伙食补助费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主管部门</w:t>
            </w:r>
          </w:p>
        </w:tc>
        <w:tc>
          <w:tcPr>
            <w:tcW w:w="153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[225] 国家消防救援局</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实施单位</w:t>
            </w:r>
          </w:p>
        </w:tc>
        <w:tc>
          <w:tcPr>
            <w:tcW w:w="21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资兴市消防救援大队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2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项目资金</w:t>
            </w:r>
            <w:r>
              <w:rPr>
                <w:rFonts w:hint="eastAsia" w:ascii="宋体" w:hAnsi="宋体" w:eastAsia="宋体" w:cs="宋体"/>
                <w:i w:val="0"/>
                <w:iCs w:val="0"/>
                <w:snapToGrid w:val="0"/>
                <w:color w:val="000000"/>
                <w:kern w:val="0"/>
                <w:sz w:val="16"/>
                <w:szCs w:val="16"/>
                <w:u w:val="none"/>
                <w:lang w:val="en-US" w:eastAsia="zh-CN" w:bidi="ar"/>
              </w:rPr>
              <w:br w:type="textWrapping"/>
            </w:r>
            <w:r>
              <w:rPr>
                <w:rFonts w:hint="eastAsia" w:ascii="宋体" w:hAnsi="宋体" w:eastAsia="宋体" w:cs="宋体"/>
                <w:i w:val="0"/>
                <w:iCs w:val="0"/>
                <w:snapToGrid w:val="0"/>
                <w:color w:val="000000"/>
                <w:kern w:val="0"/>
                <w:sz w:val="16"/>
                <w:szCs w:val="16"/>
                <w:u w:val="none"/>
                <w:lang w:val="en-US" w:eastAsia="zh-CN" w:bidi="ar"/>
              </w:rPr>
              <w:t>（万元）</w:t>
            </w:r>
          </w:p>
        </w:tc>
        <w:tc>
          <w:tcPr>
            <w:tcW w:w="10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000000"/>
                <w:sz w:val="16"/>
                <w:szCs w:val="16"/>
                <w:u w:val="none"/>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年初预算数</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全年预算数</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全年执行数</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分值</w:t>
            </w:r>
          </w:p>
        </w:tc>
        <w:tc>
          <w:tcPr>
            <w:tcW w:w="9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执行率</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2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000000"/>
                <w:sz w:val="16"/>
                <w:szCs w:val="16"/>
                <w:u w:val="none"/>
              </w:rPr>
            </w:pPr>
          </w:p>
        </w:tc>
        <w:tc>
          <w:tcPr>
            <w:tcW w:w="10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年度资金总额：</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lang w:val="en-US"/>
              </w:rPr>
            </w:pPr>
            <w:r>
              <w:rPr>
                <w:rFonts w:hint="eastAsia" w:ascii="宋体" w:hAnsi="宋体" w:eastAsia="宋体" w:cs="宋体"/>
                <w:i w:val="0"/>
                <w:iCs w:val="0"/>
                <w:snapToGrid w:val="0"/>
                <w:color w:val="000000"/>
                <w:kern w:val="0"/>
                <w:sz w:val="16"/>
                <w:szCs w:val="16"/>
                <w:u w:val="none"/>
                <w:lang w:val="en-US" w:eastAsia="zh-CN" w:bidi="ar"/>
              </w:rPr>
              <w:t>45.01</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45.01</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45.01</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10.0</w:t>
            </w:r>
          </w:p>
        </w:tc>
        <w:tc>
          <w:tcPr>
            <w:tcW w:w="9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100.0%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lang w:val="en-US"/>
              </w:rPr>
            </w:pPr>
            <w:r>
              <w:rPr>
                <w:rFonts w:hint="eastAsia" w:ascii="宋体" w:hAnsi="宋体" w:eastAsia="宋体" w:cs="宋体"/>
                <w:i w:val="0"/>
                <w:iCs w:val="0"/>
                <w:snapToGrid w:val="0"/>
                <w:color w:val="000000"/>
                <w:kern w:val="0"/>
                <w:sz w:val="16"/>
                <w:szCs w:val="16"/>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2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000000"/>
                <w:sz w:val="16"/>
                <w:szCs w:val="16"/>
                <w:u w:val="none"/>
              </w:rPr>
            </w:pPr>
          </w:p>
        </w:tc>
        <w:tc>
          <w:tcPr>
            <w:tcW w:w="10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其中：财政拨款</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45.01</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45.01</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45.01</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w:t>
            </w:r>
          </w:p>
        </w:tc>
        <w:tc>
          <w:tcPr>
            <w:tcW w:w="9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2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000000"/>
                <w:sz w:val="16"/>
                <w:szCs w:val="16"/>
                <w:u w:val="none"/>
              </w:rPr>
            </w:pPr>
          </w:p>
        </w:tc>
        <w:tc>
          <w:tcPr>
            <w:tcW w:w="1099"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上年结转</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0.00</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0.00</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0.00</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w:t>
            </w:r>
          </w:p>
        </w:tc>
        <w:tc>
          <w:tcPr>
            <w:tcW w:w="9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2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000000"/>
                <w:sz w:val="16"/>
                <w:szCs w:val="16"/>
                <w:u w:val="none"/>
              </w:rPr>
            </w:pPr>
          </w:p>
        </w:tc>
        <w:tc>
          <w:tcPr>
            <w:tcW w:w="10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其他资金</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0.00</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0.00</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0.00</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w:t>
            </w:r>
          </w:p>
        </w:tc>
        <w:tc>
          <w:tcPr>
            <w:tcW w:w="9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年</w:t>
            </w:r>
            <w:r>
              <w:rPr>
                <w:rFonts w:hint="eastAsia" w:ascii="宋体" w:hAnsi="宋体" w:eastAsia="宋体" w:cs="宋体"/>
                <w:i w:val="0"/>
                <w:iCs w:val="0"/>
                <w:snapToGrid w:val="0"/>
                <w:color w:val="000000"/>
                <w:kern w:val="0"/>
                <w:sz w:val="16"/>
                <w:szCs w:val="16"/>
                <w:u w:val="none"/>
                <w:lang w:val="en-US" w:eastAsia="zh-CN" w:bidi="ar"/>
              </w:rPr>
              <w:br w:type="textWrapping"/>
            </w:r>
            <w:r>
              <w:rPr>
                <w:rFonts w:hint="eastAsia" w:ascii="宋体" w:hAnsi="宋体" w:eastAsia="宋体" w:cs="宋体"/>
                <w:i w:val="0"/>
                <w:iCs w:val="0"/>
                <w:snapToGrid w:val="0"/>
                <w:color w:val="000000"/>
                <w:kern w:val="0"/>
                <w:sz w:val="16"/>
                <w:szCs w:val="16"/>
                <w:u w:val="none"/>
                <w:lang w:val="en-US" w:eastAsia="zh-CN" w:bidi="ar"/>
              </w:rPr>
              <w:t>度</w:t>
            </w:r>
            <w:r>
              <w:rPr>
                <w:rFonts w:hint="eastAsia" w:ascii="宋体" w:hAnsi="宋体" w:eastAsia="宋体" w:cs="宋体"/>
                <w:i w:val="0"/>
                <w:iCs w:val="0"/>
                <w:snapToGrid w:val="0"/>
                <w:color w:val="000000"/>
                <w:kern w:val="0"/>
                <w:sz w:val="16"/>
                <w:szCs w:val="16"/>
                <w:u w:val="none"/>
                <w:lang w:val="en-US" w:eastAsia="zh-CN" w:bidi="ar"/>
              </w:rPr>
              <w:br w:type="textWrapping"/>
            </w:r>
            <w:r>
              <w:rPr>
                <w:rFonts w:hint="eastAsia" w:ascii="宋体" w:hAnsi="宋体" w:eastAsia="宋体" w:cs="宋体"/>
                <w:i w:val="0"/>
                <w:iCs w:val="0"/>
                <w:snapToGrid w:val="0"/>
                <w:color w:val="000000"/>
                <w:kern w:val="0"/>
                <w:sz w:val="16"/>
                <w:szCs w:val="16"/>
                <w:u w:val="none"/>
                <w:lang w:val="en-US" w:eastAsia="zh-CN" w:bidi="ar"/>
              </w:rPr>
              <w:t>总</w:t>
            </w:r>
            <w:r>
              <w:rPr>
                <w:rFonts w:hint="eastAsia" w:ascii="宋体" w:hAnsi="宋体" w:eastAsia="宋体" w:cs="宋体"/>
                <w:i w:val="0"/>
                <w:iCs w:val="0"/>
                <w:snapToGrid w:val="0"/>
                <w:color w:val="000000"/>
                <w:kern w:val="0"/>
                <w:sz w:val="16"/>
                <w:szCs w:val="16"/>
                <w:u w:val="none"/>
                <w:lang w:val="en-US" w:eastAsia="zh-CN" w:bidi="ar"/>
              </w:rPr>
              <w:br w:type="textWrapping"/>
            </w:r>
            <w:r>
              <w:rPr>
                <w:rFonts w:hint="eastAsia" w:ascii="宋体" w:hAnsi="宋体" w:eastAsia="宋体" w:cs="宋体"/>
                <w:i w:val="0"/>
                <w:iCs w:val="0"/>
                <w:snapToGrid w:val="0"/>
                <w:color w:val="000000"/>
                <w:kern w:val="0"/>
                <w:sz w:val="16"/>
                <w:szCs w:val="16"/>
                <w:u w:val="none"/>
                <w:lang w:val="en-US" w:eastAsia="zh-CN" w:bidi="ar"/>
              </w:rPr>
              <w:t>体</w:t>
            </w:r>
            <w:r>
              <w:rPr>
                <w:rFonts w:hint="eastAsia" w:ascii="宋体" w:hAnsi="宋体" w:eastAsia="宋体" w:cs="宋体"/>
                <w:i w:val="0"/>
                <w:iCs w:val="0"/>
                <w:snapToGrid w:val="0"/>
                <w:color w:val="000000"/>
                <w:kern w:val="0"/>
                <w:sz w:val="16"/>
                <w:szCs w:val="16"/>
                <w:u w:val="none"/>
                <w:lang w:val="en-US" w:eastAsia="zh-CN" w:bidi="ar"/>
              </w:rPr>
              <w:br w:type="textWrapping"/>
            </w:r>
            <w:r>
              <w:rPr>
                <w:rFonts w:hint="eastAsia" w:ascii="宋体" w:hAnsi="宋体" w:eastAsia="宋体" w:cs="宋体"/>
                <w:i w:val="0"/>
                <w:iCs w:val="0"/>
                <w:snapToGrid w:val="0"/>
                <w:color w:val="000000"/>
                <w:kern w:val="0"/>
                <w:sz w:val="16"/>
                <w:szCs w:val="16"/>
                <w:u w:val="none"/>
                <w:lang w:val="en-US" w:eastAsia="zh-CN" w:bidi="ar"/>
              </w:rPr>
              <w:t>目</w:t>
            </w:r>
            <w:r>
              <w:rPr>
                <w:rFonts w:hint="eastAsia" w:ascii="宋体" w:hAnsi="宋体" w:eastAsia="宋体" w:cs="宋体"/>
                <w:i w:val="0"/>
                <w:iCs w:val="0"/>
                <w:snapToGrid w:val="0"/>
                <w:color w:val="000000"/>
                <w:kern w:val="0"/>
                <w:sz w:val="16"/>
                <w:szCs w:val="16"/>
                <w:u w:val="none"/>
                <w:lang w:val="en-US" w:eastAsia="zh-CN" w:bidi="ar"/>
              </w:rPr>
              <w:br w:type="textWrapping"/>
            </w:r>
            <w:r>
              <w:rPr>
                <w:rFonts w:hint="eastAsia" w:ascii="宋体" w:hAnsi="宋体" w:eastAsia="宋体" w:cs="宋体"/>
                <w:i w:val="0"/>
                <w:iCs w:val="0"/>
                <w:snapToGrid w:val="0"/>
                <w:color w:val="000000"/>
                <w:kern w:val="0"/>
                <w:sz w:val="16"/>
                <w:szCs w:val="16"/>
                <w:u w:val="none"/>
                <w:lang w:val="en-US" w:eastAsia="zh-CN" w:bidi="ar"/>
              </w:rPr>
              <w:t>标</w:t>
            </w:r>
          </w:p>
        </w:tc>
        <w:tc>
          <w:tcPr>
            <w:tcW w:w="259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预期目标</w:t>
            </w:r>
          </w:p>
        </w:tc>
        <w:tc>
          <w:tcPr>
            <w:tcW w:w="21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2" w:hRule="atLeast"/>
        </w:trPr>
        <w:tc>
          <w:tcPr>
            <w:tcW w:w="2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000000"/>
                <w:sz w:val="16"/>
                <w:szCs w:val="16"/>
                <w:u w:val="none"/>
              </w:rPr>
            </w:pPr>
          </w:p>
        </w:tc>
        <w:tc>
          <w:tcPr>
            <w:tcW w:w="259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依据《消防法》、《深化党和国家机构改革方案》、《应急管理部职能配置、内设机构和人员编制规定》赋予消防救援队伍的职能任务以及《消防救援局关于调整提高伙食补助费标准的通知》（应急消函〔2022〕152号）要求，普通灶、特勤灶的伙食费基本标准分别为一类区每人每天41元、52元，维持基层消防救援指战员营养和体能消耗需要，厉行勤俭节约，科学调剂伙食，确保基层消防救援人员的伙食供给安全高效、营养搭配均衡。</w:t>
            </w:r>
          </w:p>
        </w:tc>
        <w:tc>
          <w:tcPr>
            <w:tcW w:w="2180" w:type="pct"/>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topLinePunct w:val="0"/>
              <w:bidi w:val="0"/>
              <w:jc w:val="both"/>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科学调剂伙食，保证消防救援指战员营养和体能消耗需要，提升队伍战斗力，预算执行率100%。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绩</w:t>
            </w:r>
            <w:r>
              <w:rPr>
                <w:rFonts w:hint="eastAsia" w:ascii="宋体" w:hAnsi="宋体" w:eastAsia="宋体" w:cs="宋体"/>
                <w:i w:val="0"/>
                <w:iCs w:val="0"/>
                <w:snapToGrid w:val="0"/>
                <w:color w:val="000000"/>
                <w:kern w:val="0"/>
                <w:sz w:val="16"/>
                <w:szCs w:val="16"/>
                <w:u w:val="none"/>
                <w:lang w:val="en-US" w:eastAsia="zh-CN" w:bidi="ar"/>
              </w:rPr>
              <w:br w:type="textWrapping"/>
            </w:r>
            <w:r>
              <w:rPr>
                <w:rFonts w:hint="eastAsia" w:ascii="宋体" w:hAnsi="宋体" w:eastAsia="宋体" w:cs="宋体"/>
                <w:i w:val="0"/>
                <w:iCs w:val="0"/>
                <w:snapToGrid w:val="0"/>
                <w:color w:val="000000"/>
                <w:kern w:val="0"/>
                <w:sz w:val="16"/>
                <w:szCs w:val="16"/>
                <w:u w:val="none"/>
                <w:lang w:val="en-US" w:eastAsia="zh-CN" w:bidi="ar"/>
              </w:rPr>
              <w:t>效</w:t>
            </w:r>
            <w:r>
              <w:rPr>
                <w:rFonts w:hint="eastAsia" w:ascii="宋体" w:hAnsi="宋体" w:eastAsia="宋体" w:cs="宋体"/>
                <w:i w:val="0"/>
                <w:iCs w:val="0"/>
                <w:snapToGrid w:val="0"/>
                <w:color w:val="000000"/>
                <w:kern w:val="0"/>
                <w:sz w:val="16"/>
                <w:szCs w:val="16"/>
                <w:u w:val="none"/>
                <w:lang w:val="en-US" w:eastAsia="zh-CN" w:bidi="ar"/>
              </w:rPr>
              <w:br w:type="textWrapping"/>
            </w:r>
            <w:r>
              <w:rPr>
                <w:rFonts w:hint="eastAsia" w:ascii="宋体" w:hAnsi="宋体" w:eastAsia="宋体" w:cs="宋体"/>
                <w:i w:val="0"/>
                <w:iCs w:val="0"/>
                <w:snapToGrid w:val="0"/>
                <w:color w:val="000000"/>
                <w:kern w:val="0"/>
                <w:sz w:val="16"/>
                <w:szCs w:val="16"/>
                <w:u w:val="none"/>
                <w:lang w:val="en-US" w:eastAsia="zh-CN" w:bidi="ar"/>
              </w:rPr>
              <w:t>指</w:t>
            </w:r>
            <w:r>
              <w:rPr>
                <w:rFonts w:hint="eastAsia" w:ascii="宋体" w:hAnsi="宋体" w:eastAsia="宋体" w:cs="宋体"/>
                <w:i w:val="0"/>
                <w:iCs w:val="0"/>
                <w:snapToGrid w:val="0"/>
                <w:color w:val="000000"/>
                <w:kern w:val="0"/>
                <w:sz w:val="16"/>
                <w:szCs w:val="16"/>
                <w:u w:val="none"/>
                <w:lang w:val="en-US" w:eastAsia="zh-CN" w:bidi="ar"/>
              </w:rPr>
              <w:br w:type="textWrapping"/>
            </w:r>
            <w:r>
              <w:rPr>
                <w:rFonts w:hint="eastAsia" w:ascii="宋体" w:hAnsi="宋体" w:eastAsia="宋体" w:cs="宋体"/>
                <w:i w:val="0"/>
                <w:iCs w:val="0"/>
                <w:snapToGrid w:val="0"/>
                <w:color w:val="000000"/>
                <w:kern w:val="0"/>
                <w:sz w:val="16"/>
                <w:szCs w:val="16"/>
                <w:u w:val="none"/>
                <w:lang w:val="en-US" w:eastAsia="zh-CN" w:bidi="ar"/>
              </w:rPr>
              <w:t>标</w:t>
            </w:r>
          </w:p>
        </w:tc>
        <w:tc>
          <w:tcPr>
            <w:tcW w:w="50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一级指标</w:t>
            </w:r>
          </w:p>
        </w:tc>
        <w:tc>
          <w:tcPr>
            <w:tcW w:w="6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二级指标</w:t>
            </w:r>
          </w:p>
        </w:tc>
        <w:tc>
          <w:tcPr>
            <w:tcW w:w="85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三级指标</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年度指标值</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实际完成值</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分值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得分</w:t>
            </w:r>
          </w:p>
        </w:tc>
        <w:tc>
          <w:tcPr>
            <w:tcW w:w="882" w:type="pct"/>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000000"/>
                <w:sz w:val="16"/>
                <w:szCs w:val="16"/>
                <w:u w:val="none"/>
              </w:rPr>
            </w:pPr>
          </w:p>
        </w:tc>
        <w:tc>
          <w:tcPr>
            <w:tcW w:w="50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成本指标</w:t>
            </w:r>
          </w:p>
        </w:tc>
        <w:tc>
          <w:tcPr>
            <w:tcW w:w="6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经济成本指标</w:t>
            </w:r>
          </w:p>
        </w:tc>
        <w:tc>
          <w:tcPr>
            <w:tcW w:w="856"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采购食品、菜品价格优惠、质量较好</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菜品价格符合市场价正常水平，质量较好。</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符合要求</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20</w:t>
            </w:r>
          </w:p>
        </w:tc>
        <w:tc>
          <w:tcPr>
            <w:tcW w:w="467"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20</w:t>
            </w:r>
          </w:p>
        </w:tc>
        <w:tc>
          <w:tcPr>
            <w:tcW w:w="8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snapToGrid w:val="0"/>
                <w:color w:val="000000"/>
                <w:kern w:val="0"/>
                <w:sz w:val="16"/>
                <w:szCs w:val="16"/>
                <w:u w:val="none"/>
                <w:lang w:val="en-US" w:eastAsia="en-US"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000000"/>
                <w:sz w:val="16"/>
                <w:szCs w:val="16"/>
                <w:u w:val="none"/>
              </w:rPr>
            </w:pPr>
          </w:p>
        </w:tc>
        <w:tc>
          <w:tcPr>
            <w:tcW w:w="5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产出指标</w:t>
            </w:r>
          </w:p>
          <w:p>
            <w:pPr>
              <w:keepNext w:val="0"/>
              <w:keepLines w:val="0"/>
              <w:widowControl/>
              <w:suppressLineNumbers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效益指标</w:t>
            </w:r>
          </w:p>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满意度指标</w:t>
            </w:r>
          </w:p>
        </w:tc>
        <w:tc>
          <w:tcPr>
            <w:tcW w:w="6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质量指标</w:t>
            </w:r>
          </w:p>
          <w:p>
            <w:pPr>
              <w:keepNext w:val="0"/>
              <w:keepLines w:val="0"/>
              <w:widowControl/>
              <w:suppressLineNumbers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社会效益指标</w:t>
            </w:r>
          </w:p>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服务对象</w:t>
            </w:r>
            <w:r>
              <w:rPr>
                <w:rFonts w:hint="eastAsia" w:ascii="宋体" w:hAnsi="宋体" w:eastAsia="宋体" w:cs="宋体"/>
                <w:i w:val="0"/>
                <w:iCs w:val="0"/>
                <w:snapToGrid w:val="0"/>
                <w:color w:val="000000"/>
                <w:kern w:val="0"/>
                <w:sz w:val="16"/>
                <w:szCs w:val="16"/>
                <w:u w:val="none"/>
                <w:lang w:val="en-US" w:eastAsia="zh-CN" w:bidi="ar"/>
              </w:rPr>
              <w:br w:type="textWrapping"/>
            </w:r>
            <w:r>
              <w:rPr>
                <w:rFonts w:hint="eastAsia" w:ascii="宋体" w:hAnsi="宋体" w:eastAsia="宋体" w:cs="宋体"/>
                <w:i w:val="0"/>
                <w:iCs w:val="0"/>
                <w:snapToGrid w:val="0"/>
                <w:color w:val="000000"/>
                <w:kern w:val="0"/>
                <w:sz w:val="16"/>
                <w:szCs w:val="16"/>
                <w:u w:val="none"/>
                <w:lang w:val="en-US" w:eastAsia="zh-CN" w:bidi="ar"/>
              </w:rPr>
              <w:t>满意度指标</w:t>
            </w:r>
          </w:p>
        </w:tc>
        <w:tc>
          <w:tcPr>
            <w:tcW w:w="856"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食品安全率</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≥95%</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100.00%</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20</w:t>
            </w:r>
          </w:p>
        </w:tc>
        <w:tc>
          <w:tcPr>
            <w:tcW w:w="467"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20</w:t>
            </w:r>
          </w:p>
        </w:tc>
        <w:tc>
          <w:tcPr>
            <w:tcW w:w="8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snapToGrid w:val="0"/>
                <w:color w:val="000000"/>
                <w:kern w:val="0"/>
                <w:sz w:val="16"/>
                <w:szCs w:val="16"/>
                <w:u w:val="none"/>
                <w:lang w:val="en-US" w:eastAsia="en-US"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000000"/>
                <w:sz w:val="16"/>
                <w:szCs w:val="16"/>
                <w:u w:val="none"/>
              </w:rPr>
            </w:pPr>
          </w:p>
        </w:tc>
        <w:tc>
          <w:tcPr>
            <w:tcW w:w="5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000000"/>
                <w:sz w:val="16"/>
                <w:szCs w:val="16"/>
                <w:u w:val="none"/>
              </w:rPr>
            </w:pPr>
          </w:p>
        </w:tc>
        <w:tc>
          <w:tcPr>
            <w:tcW w:w="6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000000"/>
                <w:sz w:val="16"/>
                <w:szCs w:val="16"/>
                <w:u w:val="none"/>
              </w:rPr>
            </w:pPr>
          </w:p>
        </w:tc>
        <w:tc>
          <w:tcPr>
            <w:tcW w:w="856"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提高指战员职业认同感、工作效率</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指战员伙食待遇得以保障，工作效率得到提高。</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及时保障</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20</w:t>
            </w:r>
          </w:p>
        </w:tc>
        <w:tc>
          <w:tcPr>
            <w:tcW w:w="467"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20</w:t>
            </w:r>
          </w:p>
        </w:tc>
        <w:tc>
          <w:tcPr>
            <w:tcW w:w="8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snapToGrid w:val="0"/>
                <w:color w:val="000000"/>
                <w:kern w:val="0"/>
                <w:sz w:val="16"/>
                <w:szCs w:val="16"/>
                <w:u w:val="none"/>
                <w:lang w:val="en-US" w:eastAsia="en-US"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000000"/>
                <w:sz w:val="16"/>
                <w:szCs w:val="16"/>
                <w:u w:val="none"/>
              </w:rPr>
            </w:pPr>
          </w:p>
        </w:tc>
        <w:tc>
          <w:tcPr>
            <w:tcW w:w="5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p>
        </w:tc>
        <w:tc>
          <w:tcPr>
            <w:tcW w:w="6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p>
        </w:tc>
        <w:tc>
          <w:tcPr>
            <w:tcW w:w="856"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指战员满意度</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≥95%</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100.00%</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30</w:t>
            </w:r>
          </w:p>
        </w:tc>
        <w:tc>
          <w:tcPr>
            <w:tcW w:w="467"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30</w:t>
            </w:r>
          </w:p>
        </w:tc>
        <w:tc>
          <w:tcPr>
            <w:tcW w:w="8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snapToGrid w:val="0"/>
                <w:color w:val="000000"/>
                <w:kern w:val="0"/>
                <w:sz w:val="16"/>
                <w:szCs w:val="16"/>
                <w:u w:val="none"/>
                <w:lang w:val="en-US" w:eastAsia="en-US"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323" w:type="pct"/>
            <w:gridSpan w:val="7"/>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总分</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100</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color w:val="000000"/>
                <w:sz w:val="16"/>
                <w:szCs w:val="16"/>
                <w:u w:val="none"/>
                <w:lang w:val="en-US"/>
              </w:rPr>
            </w:pPr>
            <w:r>
              <w:rPr>
                <w:rFonts w:hint="eastAsia" w:ascii="宋体" w:hAnsi="宋体" w:eastAsia="宋体" w:cs="宋体"/>
                <w:i w:val="0"/>
                <w:iCs w:val="0"/>
                <w:snapToGrid w:val="0"/>
                <w:color w:val="000000"/>
                <w:kern w:val="0"/>
                <w:sz w:val="16"/>
                <w:szCs w:val="16"/>
                <w:u w:val="none"/>
                <w:lang w:val="en-US" w:eastAsia="zh-CN" w:bidi="ar"/>
              </w:rPr>
              <w:t>100.0</w:t>
            </w:r>
          </w:p>
        </w:tc>
        <w:tc>
          <w:tcPr>
            <w:tcW w:w="882" w:type="pct"/>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bidi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说明：</w:t>
            </w:r>
          </w:p>
        </w:tc>
      </w:tr>
    </w:tbl>
    <w:p>
      <w:pPr>
        <w:keepNext w:val="0"/>
        <w:keepLines w:val="0"/>
        <w:pageBreakBefore w:val="0"/>
        <w:widowControl/>
        <w:kinsoku/>
        <w:wordWrap/>
        <w:overflowPunct/>
        <w:topLinePunct w:val="0"/>
        <w:autoSpaceDE w:val="0"/>
        <w:autoSpaceDN w:val="0"/>
        <w:bidi w:val="0"/>
        <w:adjustRightInd w:val="0"/>
        <w:snapToGrid w:val="0"/>
        <w:spacing w:line="600" w:lineRule="exact"/>
        <w:jc w:val="both"/>
        <w:textAlignment w:val="baseline"/>
        <w:rPr>
          <w:rFonts w:hint="default" w:ascii="Times New Roman" w:hAnsi="Times New Roman" w:eastAsia="方正仿宋_GBK" w:cs="Times New Roman"/>
          <w:color w:val="auto"/>
          <w:spacing w:val="5"/>
          <w:sz w:val="31"/>
          <w:szCs w:val="31"/>
          <w:highlight w:val="none"/>
        </w:rPr>
      </w:pPr>
    </w:p>
    <w:p>
      <w:pPr>
        <w:pStyle w:val="2"/>
        <w:keepNext w:val="0"/>
        <w:keepLines w:val="0"/>
        <w:pageBreakBefore w:val="0"/>
        <w:widowControl/>
        <w:kinsoku/>
        <w:wordWrap/>
        <w:topLinePunct w:val="0"/>
        <w:bidi w:val="0"/>
        <w:rPr>
          <w:rFonts w:hint="default" w:ascii="Times New Roman" w:hAnsi="Times New Roman" w:eastAsia="方正仿宋_GBK" w:cs="Times New Roman"/>
          <w:color w:val="auto"/>
          <w:spacing w:val="5"/>
          <w:sz w:val="31"/>
          <w:szCs w:val="31"/>
          <w:highlight w:val="none"/>
        </w:rPr>
      </w:pPr>
    </w:p>
    <w:p>
      <w:pPr>
        <w:pStyle w:val="2"/>
        <w:keepNext w:val="0"/>
        <w:keepLines w:val="0"/>
        <w:pageBreakBefore w:val="0"/>
        <w:widowControl/>
        <w:kinsoku/>
        <w:wordWrap/>
        <w:topLinePunct w:val="0"/>
        <w:bidi w:val="0"/>
        <w:rPr>
          <w:rFonts w:hint="default" w:ascii="Times New Roman" w:hAnsi="Times New Roman" w:eastAsia="方正仿宋_GBK" w:cs="Times New Roman"/>
          <w:color w:val="auto"/>
          <w:spacing w:val="5"/>
          <w:sz w:val="31"/>
          <w:szCs w:val="31"/>
          <w:highlight w:val="none"/>
        </w:rPr>
      </w:pPr>
    </w:p>
    <w:p>
      <w:pPr>
        <w:pStyle w:val="2"/>
        <w:keepNext w:val="0"/>
        <w:keepLines w:val="0"/>
        <w:pageBreakBefore w:val="0"/>
        <w:widowControl/>
        <w:kinsoku/>
        <w:wordWrap/>
        <w:topLinePunct w:val="0"/>
        <w:bidi w:val="0"/>
        <w:rPr>
          <w:rFonts w:hint="default" w:ascii="Times New Roman" w:hAnsi="Times New Roman" w:eastAsia="方正仿宋_GBK" w:cs="Times New Roman"/>
          <w:color w:val="auto"/>
          <w:spacing w:val="5"/>
          <w:sz w:val="31"/>
          <w:szCs w:val="31"/>
          <w:highlight w:val="none"/>
        </w:rPr>
      </w:pPr>
    </w:p>
    <w:p>
      <w:pPr>
        <w:pStyle w:val="2"/>
        <w:keepNext w:val="0"/>
        <w:keepLines w:val="0"/>
        <w:pageBreakBefore w:val="0"/>
        <w:widowControl/>
        <w:kinsoku/>
        <w:wordWrap/>
        <w:topLinePunct w:val="0"/>
        <w:bidi w:val="0"/>
        <w:rPr>
          <w:rFonts w:hint="default" w:ascii="Times New Roman" w:hAnsi="Times New Roman" w:eastAsia="方正仿宋_GBK" w:cs="Times New Roman"/>
          <w:color w:val="auto"/>
          <w:spacing w:val="5"/>
          <w:sz w:val="31"/>
          <w:szCs w:val="31"/>
          <w:highlight w:val="none"/>
        </w:rPr>
      </w:pPr>
    </w:p>
    <w:tbl>
      <w:tblPr>
        <w:tblStyle w:val="11"/>
        <w:tblW w:w="95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7"/>
        <w:gridCol w:w="759"/>
        <w:gridCol w:w="1250"/>
        <w:gridCol w:w="822"/>
        <w:gridCol w:w="763"/>
        <w:gridCol w:w="1138"/>
        <w:gridCol w:w="1112"/>
        <w:gridCol w:w="713"/>
        <w:gridCol w:w="675"/>
        <w:gridCol w:w="636"/>
        <w:gridCol w:w="10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jc w:val="center"/>
        </w:trPr>
        <w:tc>
          <w:tcPr>
            <w:tcW w:w="9538"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val="0"/>
                <w:bCs w:val="0"/>
                <w:i w:val="0"/>
                <w:iCs w:val="0"/>
                <w:snapToGrid w:val="0"/>
                <w:color w:val="000000"/>
                <w:kern w:val="0"/>
                <w:sz w:val="32"/>
                <w:szCs w:val="32"/>
                <w:u w:val="none"/>
                <w:lang w:val="en-US" w:eastAsia="zh-CN" w:bidi="ar"/>
              </w:rPr>
              <w:t>政府专职消防员经费项目绩效自评表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9538"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 w:hRule="atLeast"/>
          <w:jc w:val="center"/>
        </w:trPr>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项目名称</w:t>
            </w:r>
          </w:p>
        </w:tc>
        <w:tc>
          <w:tcPr>
            <w:tcW w:w="817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政府专职消防员经费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 w:hRule="atLeast"/>
          <w:jc w:val="center"/>
        </w:trPr>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主管部门</w:t>
            </w:r>
          </w:p>
        </w:tc>
        <w:tc>
          <w:tcPr>
            <w:tcW w:w="28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[225] 国家消防救援局</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实施单位</w:t>
            </w:r>
          </w:p>
        </w:tc>
        <w:tc>
          <w:tcPr>
            <w:tcW w:w="41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资兴市消防救援大队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2" w:hRule="atLeast"/>
          <w:jc w:val="center"/>
        </w:trPr>
        <w:tc>
          <w:tcPr>
            <w:tcW w:w="136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项目资金</w:t>
            </w:r>
            <w:r>
              <w:rPr>
                <w:rFonts w:hint="eastAsia" w:ascii="宋体" w:hAnsi="宋体" w:eastAsia="宋体" w:cs="宋体"/>
                <w:i w:val="0"/>
                <w:iCs w:val="0"/>
                <w:snapToGrid w:val="0"/>
                <w:color w:val="000000"/>
                <w:kern w:val="0"/>
                <w:sz w:val="16"/>
                <w:szCs w:val="16"/>
                <w:u w:val="none"/>
                <w:lang w:val="en-US" w:eastAsia="zh-CN" w:bidi="ar"/>
              </w:rPr>
              <w:br w:type="textWrapping"/>
            </w:r>
            <w:r>
              <w:rPr>
                <w:rFonts w:hint="eastAsia" w:ascii="宋体" w:hAnsi="宋体" w:eastAsia="宋体" w:cs="宋体"/>
                <w:i w:val="0"/>
                <w:iCs w:val="0"/>
                <w:snapToGrid w:val="0"/>
                <w:color w:val="000000"/>
                <w:kern w:val="0"/>
                <w:sz w:val="16"/>
                <w:szCs w:val="16"/>
                <w:u w:val="none"/>
                <w:lang w:val="en-US" w:eastAsia="zh-CN" w:bidi="ar"/>
              </w:rPr>
              <w:t>（万元）</w:t>
            </w:r>
          </w:p>
        </w:tc>
        <w:tc>
          <w:tcPr>
            <w:tcW w:w="2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年初预算数</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全年预算数</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全年执行数</w:t>
            </w: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分值</w:t>
            </w:r>
          </w:p>
        </w:tc>
        <w:tc>
          <w:tcPr>
            <w:tcW w:w="13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执行率</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 w:hRule="atLeast"/>
          <w:jc w:val="center"/>
        </w:trPr>
        <w:tc>
          <w:tcPr>
            <w:tcW w:w="13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年度资金总额：</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592.77</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592.77</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524.62</w:t>
            </w: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10.0</w:t>
            </w:r>
          </w:p>
        </w:tc>
        <w:tc>
          <w:tcPr>
            <w:tcW w:w="13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88.5%</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2" w:hRule="atLeast"/>
          <w:jc w:val="center"/>
        </w:trPr>
        <w:tc>
          <w:tcPr>
            <w:tcW w:w="13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     其中：财政拨款</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0.00</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0.00</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default"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0.00</w:t>
            </w: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w:t>
            </w:r>
          </w:p>
        </w:tc>
        <w:tc>
          <w:tcPr>
            <w:tcW w:w="13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center"/>
              <w:rPr>
                <w:rFonts w:hint="eastAsia" w:ascii="宋体" w:hAnsi="宋体" w:eastAsia="宋体" w:cs="宋体"/>
                <w:i w:val="0"/>
                <w:iCs w:val="0"/>
                <w:snapToGrid w:val="0"/>
                <w:color w:val="000000"/>
                <w:kern w:val="0"/>
                <w:sz w:val="16"/>
                <w:szCs w:val="16"/>
                <w:u w:val="none"/>
                <w:lang w:val="en-US" w:eastAsia="en-US" w:bidi="ar-SA"/>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2" w:hRule="atLeast"/>
          <w:jc w:val="center"/>
        </w:trPr>
        <w:tc>
          <w:tcPr>
            <w:tcW w:w="13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072"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            上年结转</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0.00</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0.00</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0.00</w:t>
            </w: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w:t>
            </w:r>
          </w:p>
        </w:tc>
        <w:tc>
          <w:tcPr>
            <w:tcW w:w="13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center"/>
              <w:rPr>
                <w:rFonts w:hint="eastAsia" w:ascii="宋体" w:hAnsi="宋体" w:eastAsia="宋体" w:cs="宋体"/>
                <w:i w:val="0"/>
                <w:iCs w:val="0"/>
                <w:snapToGrid w:val="0"/>
                <w:color w:val="000000"/>
                <w:kern w:val="0"/>
                <w:sz w:val="16"/>
                <w:szCs w:val="16"/>
                <w:u w:val="none"/>
                <w:lang w:val="en-US" w:eastAsia="en-US" w:bidi="ar-SA"/>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2" w:hRule="atLeast"/>
          <w:jc w:val="center"/>
        </w:trPr>
        <w:tc>
          <w:tcPr>
            <w:tcW w:w="13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 xml:space="preserve">            其他资金 </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592.77</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592.77</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524.62</w:t>
            </w: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w:t>
            </w:r>
          </w:p>
        </w:tc>
        <w:tc>
          <w:tcPr>
            <w:tcW w:w="13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topLinePunct w:val="0"/>
              <w:bidi w:val="0"/>
              <w:jc w:val="center"/>
              <w:rPr>
                <w:rFonts w:hint="eastAsia" w:ascii="宋体" w:hAnsi="宋体" w:eastAsia="宋体" w:cs="宋体"/>
                <w:i w:val="0"/>
                <w:iCs w:val="0"/>
                <w:snapToGrid w:val="0"/>
                <w:color w:val="000000"/>
                <w:kern w:val="0"/>
                <w:sz w:val="16"/>
                <w:szCs w:val="16"/>
                <w:u w:val="none"/>
                <w:lang w:val="en-US" w:eastAsia="en-US" w:bidi="ar-SA"/>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jc w:val="center"/>
              <w:textAlignment w:val="center"/>
              <w:rPr>
                <w:rFonts w:hint="eastAsia" w:ascii="宋体" w:hAnsi="宋体" w:eastAsia="宋体" w:cs="宋体"/>
                <w:i w:val="0"/>
                <w:iCs w:val="0"/>
                <w:snapToGrid w:val="0"/>
                <w:color w:val="000000"/>
                <w:kern w:val="0"/>
                <w:sz w:val="16"/>
                <w:szCs w:val="16"/>
                <w:u w:val="none"/>
                <w:lang w:val="en-US" w:eastAsia="en-US" w:bidi="ar-SA"/>
              </w:rPr>
            </w:pPr>
            <w:r>
              <w:rPr>
                <w:rFonts w:hint="eastAsia" w:ascii="宋体" w:hAnsi="宋体" w:eastAsia="宋体" w:cs="宋体"/>
                <w:i w:val="0"/>
                <w:iCs w:val="0"/>
                <w:snapToGrid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 w:hRule="atLeast"/>
          <w:jc w:val="center"/>
        </w:trPr>
        <w:tc>
          <w:tcPr>
            <w:tcW w:w="6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年度总体目标</w:t>
            </w:r>
          </w:p>
        </w:tc>
        <w:tc>
          <w:tcPr>
            <w:tcW w:w="47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预期目标</w:t>
            </w:r>
          </w:p>
        </w:tc>
        <w:tc>
          <w:tcPr>
            <w:tcW w:w="41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2" w:hRule="atLeast"/>
          <w:jc w:val="center"/>
        </w:trPr>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4732"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根据政府专职消防员管理、福利保障相关文件的要求，做好政府专职消防员工资、社保、伙食、被装等保障工作。</w:t>
            </w:r>
          </w:p>
        </w:tc>
        <w:tc>
          <w:tcPr>
            <w:tcW w:w="4199"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2025年度根据政府专职消防员管理、福利保障相关文件的要求，严格控制了成本，较好的完成了政府专职消防员伙食、被装、雇主责任险等保障工作,满意度较高。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4" w:hRule="atLeast"/>
          <w:jc w:val="center"/>
        </w:trPr>
        <w:tc>
          <w:tcPr>
            <w:tcW w:w="6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绩</w:t>
            </w:r>
            <w:r>
              <w:rPr>
                <w:rFonts w:hint="eastAsia" w:ascii="宋体" w:hAnsi="宋体" w:eastAsia="宋体" w:cs="宋体"/>
                <w:i w:val="0"/>
                <w:iCs w:val="0"/>
                <w:snapToGrid w:val="0"/>
                <w:color w:val="000000"/>
                <w:kern w:val="0"/>
                <w:sz w:val="16"/>
                <w:szCs w:val="16"/>
                <w:u w:val="none"/>
                <w:lang w:val="en-US" w:eastAsia="zh-CN" w:bidi="ar"/>
              </w:rPr>
              <w:br w:type="textWrapping"/>
            </w:r>
            <w:r>
              <w:rPr>
                <w:rFonts w:hint="eastAsia" w:ascii="宋体" w:hAnsi="宋体" w:eastAsia="宋体" w:cs="宋体"/>
                <w:i w:val="0"/>
                <w:iCs w:val="0"/>
                <w:snapToGrid w:val="0"/>
                <w:color w:val="000000"/>
                <w:kern w:val="0"/>
                <w:sz w:val="16"/>
                <w:szCs w:val="16"/>
                <w:u w:val="none"/>
                <w:lang w:val="en-US" w:eastAsia="zh-CN" w:bidi="ar"/>
              </w:rPr>
              <w:t>效</w:t>
            </w:r>
            <w:r>
              <w:rPr>
                <w:rFonts w:hint="eastAsia" w:ascii="宋体" w:hAnsi="宋体" w:eastAsia="宋体" w:cs="宋体"/>
                <w:i w:val="0"/>
                <w:iCs w:val="0"/>
                <w:snapToGrid w:val="0"/>
                <w:color w:val="000000"/>
                <w:kern w:val="0"/>
                <w:sz w:val="16"/>
                <w:szCs w:val="16"/>
                <w:u w:val="none"/>
                <w:lang w:val="en-US" w:eastAsia="zh-CN" w:bidi="ar"/>
              </w:rPr>
              <w:br w:type="textWrapping"/>
            </w:r>
            <w:r>
              <w:rPr>
                <w:rFonts w:hint="eastAsia" w:ascii="宋体" w:hAnsi="宋体" w:eastAsia="宋体" w:cs="宋体"/>
                <w:i w:val="0"/>
                <w:iCs w:val="0"/>
                <w:snapToGrid w:val="0"/>
                <w:color w:val="000000"/>
                <w:kern w:val="0"/>
                <w:sz w:val="16"/>
                <w:szCs w:val="16"/>
                <w:u w:val="none"/>
                <w:lang w:val="en-US" w:eastAsia="zh-CN" w:bidi="ar"/>
              </w:rPr>
              <w:t>指</w:t>
            </w:r>
            <w:r>
              <w:rPr>
                <w:rFonts w:hint="eastAsia" w:ascii="宋体" w:hAnsi="宋体" w:eastAsia="宋体" w:cs="宋体"/>
                <w:i w:val="0"/>
                <w:iCs w:val="0"/>
                <w:snapToGrid w:val="0"/>
                <w:color w:val="000000"/>
                <w:kern w:val="0"/>
                <w:sz w:val="16"/>
                <w:szCs w:val="16"/>
                <w:u w:val="none"/>
                <w:lang w:val="en-US" w:eastAsia="zh-CN" w:bidi="ar"/>
              </w:rPr>
              <w:br w:type="textWrapping"/>
            </w:r>
            <w:r>
              <w:rPr>
                <w:rFonts w:hint="eastAsia" w:ascii="宋体" w:hAnsi="宋体" w:eastAsia="宋体" w:cs="宋体"/>
                <w:i w:val="0"/>
                <w:iCs w:val="0"/>
                <w:snapToGrid w:val="0"/>
                <w:color w:val="000000"/>
                <w:kern w:val="0"/>
                <w:sz w:val="16"/>
                <w:szCs w:val="16"/>
                <w:u w:val="none"/>
                <w:lang w:val="en-US" w:eastAsia="zh-CN" w:bidi="ar"/>
              </w:rPr>
              <w:t>标</w:t>
            </w:r>
          </w:p>
        </w:tc>
        <w:tc>
          <w:tcPr>
            <w:tcW w:w="75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二级指标</w:t>
            </w:r>
          </w:p>
        </w:tc>
        <w:tc>
          <w:tcPr>
            <w:tcW w:w="15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三级指标</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年度指标值</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实际完成值</w:t>
            </w: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分值</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得分</w:t>
            </w:r>
          </w:p>
        </w:tc>
        <w:tc>
          <w:tcPr>
            <w:tcW w:w="1699"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4" w:hRule="atLeast"/>
          <w:jc w:val="center"/>
        </w:trPr>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59" w:type="dxa"/>
            <w:vMerge w:val="restar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成本指标</w:t>
            </w:r>
          </w:p>
        </w:tc>
        <w:tc>
          <w:tcPr>
            <w:tcW w:w="1250"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经济成本指标</w:t>
            </w:r>
          </w:p>
        </w:tc>
        <w:tc>
          <w:tcPr>
            <w:tcW w:w="1585"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采购食品、菜品价格优惠、质量较好</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菜品符合要求，价格公允。</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符合要求</w:t>
            </w: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10</w:t>
            </w:r>
          </w:p>
        </w:tc>
        <w:tc>
          <w:tcPr>
            <w:tcW w:w="67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snapToGrid w:val="0"/>
                <w:color w:val="000000"/>
                <w:kern w:val="0"/>
                <w:sz w:val="16"/>
                <w:szCs w:val="16"/>
                <w:u w:val="none"/>
                <w:lang w:val="en-US" w:eastAsia="zh-CN" w:bidi="ar"/>
              </w:rPr>
              <w:t>8.0</w:t>
            </w:r>
          </w:p>
        </w:tc>
        <w:tc>
          <w:tcPr>
            <w:tcW w:w="16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7" w:hRule="atLeast"/>
          <w:jc w:val="center"/>
        </w:trPr>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59" w:type="dxa"/>
            <w:vMerge w:val="continue"/>
            <w:tcBorders>
              <w:top w:val="single" w:color="000000" w:sz="4" w:space="0"/>
              <w:left w:val="nil"/>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250"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585"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成本完成率</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100%</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88.5%</w:t>
            </w: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10</w:t>
            </w:r>
          </w:p>
        </w:tc>
        <w:tc>
          <w:tcPr>
            <w:tcW w:w="67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8.9</w:t>
            </w:r>
          </w:p>
        </w:tc>
        <w:tc>
          <w:tcPr>
            <w:tcW w:w="16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政府专职经费，预算结转68.16万元，25年政府专职部分未休假补助，十三薪等相关支出暂未发放。在保障政府专职消防员工资福利支出情况下，节俭开支。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 w:hRule="atLeast"/>
          <w:jc w:val="center"/>
        </w:trPr>
        <w:tc>
          <w:tcPr>
            <w:tcW w:w="607"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产出指标</w:t>
            </w:r>
          </w:p>
        </w:tc>
        <w:tc>
          <w:tcPr>
            <w:tcW w:w="12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质量指标</w:t>
            </w:r>
          </w:p>
        </w:tc>
        <w:tc>
          <w:tcPr>
            <w:tcW w:w="1585" w:type="dxa"/>
            <w:gridSpan w:val="2"/>
            <w:tcBorders>
              <w:top w:val="single" w:color="000000" w:sz="4" w:space="0"/>
              <w:left w:val="single" w:color="auto"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项目专款专用率</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100%</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100.00%</w:t>
            </w: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10</w:t>
            </w:r>
          </w:p>
        </w:tc>
        <w:tc>
          <w:tcPr>
            <w:tcW w:w="67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10.0</w:t>
            </w:r>
          </w:p>
        </w:tc>
        <w:tc>
          <w:tcPr>
            <w:tcW w:w="16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2" w:hRule="atLeast"/>
          <w:jc w:val="center"/>
        </w:trPr>
        <w:tc>
          <w:tcPr>
            <w:tcW w:w="607"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2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585" w:type="dxa"/>
            <w:gridSpan w:val="2"/>
            <w:tcBorders>
              <w:top w:val="single" w:color="000000" w:sz="4" w:space="0"/>
              <w:left w:val="single" w:color="auto"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质量验收</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被装验收符合要求</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均符合要求</w:t>
            </w: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10</w:t>
            </w:r>
          </w:p>
        </w:tc>
        <w:tc>
          <w:tcPr>
            <w:tcW w:w="67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10.0</w:t>
            </w:r>
          </w:p>
        </w:tc>
        <w:tc>
          <w:tcPr>
            <w:tcW w:w="16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 w:hRule="atLeast"/>
          <w:jc w:val="center"/>
        </w:trPr>
        <w:tc>
          <w:tcPr>
            <w:tcW w:w="607"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2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585" w:type="dxa"/>
            <w:gridSpan w:val="2"/>
            <w:tcBorders>
              <w:top w:val="single" w:color="000000" w:sz="4" w:space="0"/>
              <w:left w:val="single" w:color="auto"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食品安全率</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≥100%</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100.00%</w:t>
            </w: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10</w:t>
            </w:r>
          </w:p>
        </w:tc>
        <w:tc>
          <w:tcPr>
            <w:tcW w:w="67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10.0</w:t>
            </w:r>
          </w:p>
        </w:tc>
        <w:tc>
          <w:tcPr>
            <w:tcW w:w="16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 w:hRule="atLeast"/>
          <w:jc w:val="center"/>
        </w:trPr>
        <w:tc>
          <w:tcPr>
            <w:tcW w:w="607"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时效指标</w:t>
            </w:r>
          </w:p>
        </w:tc>
        <w:tc>
          <w:tcPr>
            <w:tcW w:w="1585" w:type="dxa"/>
            <w:gridSpan w:val="2"/>
            <w:tcBorders>
              <w:top w:val="single" w:color="000000" w:sz="4" w:space="0"/>
              <w:left w:val="single" w:color="auto"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保障及时有效</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≥11</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12</w:t>
            </w: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10</w:t>
            </w:r>
          </w:p>
        </w:tc>
        <w:tc>
          <w:tcPr>
            <w:tcW w:w="67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10.0</w:t>
            </w:r>
          </w:p>
        </w:tc>
        <w:tc>
          <w:tcPr>
            <w:tcW w:w="16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jc w:val="center"/>
        </w:trPr>
        <w:tc>
          <w:tcPr>
            <w:tcW w:w="607"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效益指标</w:t>
            </w:r>
          </w:p>
        </w:tc>
        <w:tc>
          <w:tcPr>
            <w:tcW w:w="12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社会效益指标</w:t>
            </w:r>
          </w:p>
        </w:tc>
        <w:tc>
          <w:tcPr>
            <w:tcW w:w="1585" w:type="dxa"/>
            <w:gridSpan w:val="2"/>
            <w:tcBorders>
              <w:top w:val="single" w:color="000000" w:sz="4" w:space="0"/>
              <w:left w:val="single" w:color="auto"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增强消防应急保障能力</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政府专职消防员福利待遇有效保障</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保障到位</w:t>
            </w: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20</w:t>
            </w:r>
          </w:p>
        </w:tc>
        <w:tc>
          <w:tcPr>
            <w:tcW w:w="67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snapToGrid w:val="0"/>
                <w:color w:val="000000"/>
                <w:kern w:val="0"/>
                <w:sz w:val="16"/>
                <w:szCs w:val="16"/>
                <w:u w:val="none"/>
                <w:lang w:val="en-US" w:eastAsia="zh-CN" w:bidi="ar"/>
              </w:rPr>
              <w:t>18.2</w:t>
            </w:r>
          </w:p>
        </w:tc>
        <w:tc>
          <w:tcPr>
            <w:tcW w:w="16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1" w:hRule="atLeast"/>
          <w:jc w:val="center"/>
        </w:trPr>
        <w:tc>
          <w:tcPr>
            <w:tcW w:w="607"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满意度指标</w:t>
            </w:r>
          </w:p>
        </w:tc>
        <w:tc>
          <w:tcPr>
            <w:tcW w:w="12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服务对象</w:t>
            </w:r>
            <w:r>
              <w:rPr>
                <w:rFonts w:hint="eastAsia" w:ascii="宋体" w:hAnsi="宋体" w:eastAsia="宋体" w:cs="宋体"/>
                <w:i w:val="0"/>
                <w:iCs w:val="0"/>
                <w:snapToGrid w:val="0"/>
                <w:color w:val="000000"/>
                <w:kern w:val="0"/>
                <w:sz w:val="16"/>
                <w:szCs w:val="16"/>
                <w:u w:val="none"/>
                <w:lang w:val="en-US" w:eastAsia="zh-CN" w:bidi="ar"/>
              </w:rPr>
              <w:br w:type="textWrapping"/>
            </w:r>
            <w:r>
              <w:rPr>
                <w:rFonts w:hint="eastAsia" w:ascii="宋体" w:hAnsi="宋体" w:eastAsia="宋体" w:cs="宋体"/>
                <w:i w:val="0"/>
                <w:iCs w:val="0"/>
                <w:snapToGrid w:val="0"/>
                <w:color w:val="000000"/>
                <w:kern w:val="0"/>
                <w:sz w:val="16"/>
                <w:szCs w:val="16"/>
                <w:u w:val="none"/>
                <w:lang w:val="en-US" w:eastAsia="zh-CN" w:bidi="ar"/>
              </w:rPr>
              <w:t>满意度指标</w:t>
            </w:r>
          </w:p>
        </w:tc>
        <w:tc>
          <w:tcPr>
            <w:tcW w:w="1585" w:type="dxa"/>
            <w:gridSpan w:val="2"/>
            <w:tcBorders>
              <w:top w:val="single" w:color="000000" w:sz="4" w:space="0"/>
              <w:left w:val="single" w:color="auto"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政府专职消防员满意度</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≥95%</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92.47%</w:t>
            </w: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10</w:t>
            </w:r>
          </w:p>
        </w:tc>
        <w:tc>
          <w:tcPr>
            <w:tcW w:w="67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snapToGrid w:val="0"/>
                <w:color w:val="000000"/>
                <w:kern w:val="0"/>
                <w:sz w:val="16"/>
                <w:szCs w:val="16"/>
                <w:u w:val="none"/>
                <w:lang w:val="en-US" w:eastAsia="zh-CN" w:bidi="ar"/>
              </w:rPr>
              <w:t>9.2</w:t>
            </w:r>
          </w:p>
        </w:tc>
        <w:tc>
          <w:tcPr>
            <w:tcW w:w="16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jc w:val="center"/>
        </w:trPr>
        <w:tc>
          <w:tcPr>
            <w:tcW w:w="6451" w:type="dxa"/>
            <w:gridSpan w:val="7"/>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总分</w:t>
            </w: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100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snapToGrid w:val="0"/>
                <w:color w:val="000000"/>
                <w:kern w:val="0"/>
                <w:sz w:val="16"/>
                <w:szCs w:val="16"/>
                <w:u w:val="none"/>
                <w:lang w:val="en-US" w:eastAsia="zh-CN" w:bidi="ar"/>
              </w:rPr>
              <w:t>93.2</w:t>
            </w:r>
          </w:p>
        </w:tc>
        <w:tc>
          <w:tcPr>
            <w:tcW w:w="1699" w:type="dxa"/>
            <w:gridSpan w:val="2"/>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9538"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说明：</w:t>
            </w:r>
          </w:p>
        </w:tc>
      </w:tr>
    </w:tbl>
    <w:p>
      <w:pPr>
        <w:pStyle w:val="2"/>
        <w:keepNext w:val="0"/>
        <w:keepLines w:val="0"/>
        <w:pageBreakBefore w:val="0"/>
        <w:widowControl/>
        <w:kinsoku/>
        <w:wordWrap/>
        <w:topLinePunct w:val="0"/>
        <w:bidi w:val="0"/>
        <w:ind w:left="0" w:leftChars="0" w:firstLine="0" w:firstLineChars="0"/>
        <w:rPr>
          <w:rFonts w:hint="default" w:ascii="Times New Roman" w:hAnsi="Times New Roman" w:eastAsia="方正仿宋_GBK" w:cs="Times New Roman"/>
          <w:color w:val="auto"/>
          <w:spacing w:val="5"/>
          <w:sz w:val="31"/>
          <w:szCs w:val="31"/>
          <w:highlight w:val="none"/>
        </w:rPr>
      </w:pPr>
    </w:p>
    <w:p>
      <w:pPr>
        <w:pStyle w:val="2"/>
        <w:keepNext w:val="0"/>
        <w:keepLines w:val="0"/>
        <w:pageBreakBefore w:val="0"/>
        <w:widowControl/>
        <w:kinsoku/>
        <w:wordWrap/>
        <w:topLinePunct w:val="0"/>
        <w:bidi w:val="0"/>
        <w:ind w:left="0" w:leftChars="0" w:firstLine="0" w:firstLineChars="0"/>
        <w:rPr>
          <w:rFonts w:hint="default" w:ascii="Times New Roman" w:hAnsi="Times New Roman" w:eastAsia="方正仿宋_GBK" w:cs="Times New Roman"/>
          <w:color w:val="auto"/>
          <w:spacing w:val="5"/>
          <w:sz w:val="31"/>
          <w:szCs w:val="31"/>
          <w:highlight w:val="none"/>
        </w:rPr>
      </w:pPr>
    </w:p>
    <w:p>
      <w:pPr>
        <w:pStyle w:val="2"/>
        <w:keepNext w:val="0"/>
        <w:keepLines w:val="0"/>
        <w:pageBreakBefore w:val="0"/>
        <w:widowControl/>
        <w:kinsoku/>
        <w:wordWrap/>
        <w:topLinePunct w:val="0"/>
        <w:bidi w:val="0"/>
        <w:ind w:left="0" w:leftChars="0" w:firstLine="0" w:firstLineChars="0"/>
        <w:rPr>
          <w:rFonts w:hint="default" w:ascii="Times New Roman" w:hAnsi="Times New Roman" w:eastAsia="方正仿宋_GBK" w:cs="Times New Roman"/>
          <w:color w:val="auto"/>
          <w:spacing w:val="5"/>
          <w:sz w:val="31"/>
          <w:szCs w:val="31"/>
          <w:highlight w:val="none"/>
          <w:lang w:val="en-US" w:eastAsia="zh-CN"/>
        </w:rPr>
        <w:sectPr>
          <w:footerReference r:id="rId12" w:type="default"/>
          <w:pgSz w:w="11907" w:h="16839"/>
          <w:pgMar w:top="2098" w:right="1531" w:bottom="1531" w:left="1531" w:header="0" w:footer="654" w:gutter="0"/>
          <w:pgBorders>
            <w:top w:val="none" w:sz="0" w:space="0"/>
            <w:left w:val="none" w:sz="0" w:space="0"/>
            <w:bottom w:val="none" w:sz="0" w:space="0"/>
            <w:right w:val="none" w:sz="0" w:space="0"/>
          </w:pgBorders>
          <w:pgNumType w:fmt="decimal"/>
          <w:cols w:space="720" w:num="1"/>
        </w:sectPr>
      </w:pPr>
    </w:p>
    <w:p>
      <w:pPr>
        <w:pStyle w:val="5"/>
        <w:keepNext w:val="0"/>
        <w:keepLines w:val="0"/>
        <w:pageBreakBefore w:val="0"/>
        <w:widowControl/>
        <w:kinsoku/>
        <w:wordWrap/>
        <w:topLinePunct w:val="0"/>
        <w:bidi w:val="0"/>
        <w:spacing w:line="245"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5"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5"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5"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5"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5"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5"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5"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5"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5"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5"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5"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5"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5"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mc:AlternateContent>
          <mc:Choice Requires="wps">
            <w:drawing>
              <wp:anchor distT="0" distB="0" distL="0" distR="0" simplePos="0" relativeHeight="251671552" behindDoc="1" locked="0" layoutInCell="1" allowOverlap="1">
                <wp:simplePos x="0" y="0"/>
                <wp:positionH relativeFrom="column">
                  <wp:posOffset>1905</wp:posOffset>
                </wp:positionH>
                <wp:positionV relativeFrom="paragraph">
                  <wp:posOffset>153035</wp:posOffset>
                </wp:positionV>
                <wp:extent cx="7560945" cy="1800225"/>
                <wp:effectExtent l="0" t="0" r="1905" b="9525"/>
                <wp:wrapNone/>
                <wp:docPr id="15" name="Rect 22"/>
                <wp:cNvGraphicFramePr/>
                <a:graphic xmlns:a="http://schemas.openxmlformats.org/drawingml/2006/main">
                  <a:graphicData uri="http://schemas.microsoft.com/office/word/2010/wordprocessingShape">
                    <wps:wsp>
                      <wps:cNvSpPr/>
                      <wps:spPr>
                        <a:xfrm>
                          <a:off x="0" y="-39428"/>
                          <a:ext cx="7560944" cy="1800225"/>
                        </a:xfrm>
                        <a:prstGeom prst="rect">
                          <a:avLst/>
                        </a:prstGeom>
                        <a:solidFill>
                          <a:srgbClr val="92D050">
                            <a:alpha val="87450"/>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22" o:spid="_x0000_s1026" o:spt="1" style="position:absolute;left:0pt;margin-left:0.15pt;margin-top:12.05pt;height:141.75pt;width:595.35pt;z-index:-251644928;mso-width-relative:page;mso-height-relative:page;" fillcolor="#92D050" filled="t" stroked="f" coordsize="21600,21600" o:gfxdata="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GXpnN1QAAAAgBAAAPAAAAAAAAAAEAIAAAACIAAABkcnMvZG93&#10;bnJldi54bWxQSwECFAAUAAAACACHTuJASiu0ITwCAACLBAAADgAAAAAAAAABACAAAAAkAQAAZHJz&#10;L2Uyb0RvYy54bWxQSwUGAAAAAAYABgBZAQAA0gUAAAAA&#10;">
                <v:fill on="t" opacity="57311f" focussize="0,0"/>
                <v:stroke on="f" weight="0pt"/>
                <v:imagedata o:title=""/>
                <o:lock v:ext="edit" aspectratio="f"/>
                <v:textbox inset="0mm,0mm,0mm,0mm"/>
              </v:rect>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72576" behindDoc="0" locked="0" layoutInCell="1" allowOverlap="1">
                <wp:simplePos x="0" y="0"/>
                <wp:positionH relativeFrom="column">
                  <wp:posOffset>74930</wp:posOffset>
                </wp:positionH>
                <wp:positionV relativeFrom="paragraph">
                  <wp:posOffset>156845</wp:posOffset>
                </wp:positionV>
                <wp:extent cx="7560945" cy="6350"/>
                <wp:effectExtent l="0" t="0" r="0" b="0"/>
                <wp:wrapNone/>
                <wp:docPr id="20" name="任意多边形 20"/>
                <wp:cNvGraphicFramePr/>
                <a:graphic xmlns:a="http://schemas.openxmlformats.org/drawingml/2006/main">
                  <a:graphicData uri="http://schemas.microsoft.com/office/word/2010/wordprocessingShape">
                    <wps:wsp>
                      <wps:cNvSpPr/>
                      <wps:spPr>
                        <a:xfrm>
                          <a:off x="0" y="0"/>
                          <a:ext cx="7560945" cy="6350"/>
                        </a:xfrm>
                        <a:custGeom>
                          <a:avLst/>
                          <a:gdLst/>
                          <a:ahLst/>
                          <a:cxnLst/>
                          <a:pathLst>
                            <a:path w="11906" h="10">
                              <a:moveTo>
                                <a:pt x="12854" y="5"/>
                              </a:moveTo>
                              <a:lnTo>
                                <a:pt x="-302" y="5"/>
                              </a:lnTo>
                            </a:path>
                          </a:pathLst>
                        </a:custGeom>
                        <a:noFill/>
                        <a:ln w="6350" cap="rnd" cmpd="sng">
                          <a:solidFill>
                            <a:srgbClr val="000000"/>
                          </a:solidFill>
                          <a:prstDash val="solid"/>
                          <a:miter lim="1000000"/>
                          <a:headEnd type="none" w="med" len="med"/>
                          <a:tailEnd type="none" w="med" len="med"/>
                        </a:ln>
                      </wps:spPr>
                      <wps:bodyPr upright="1"/>
                    </wps:wsp>
                  </a:graphicData>
                </a:graphic>
              </wp:anchor>
            </w:drawing>
          </mc:Choice>
          <mc:Fallback>
            <w:pict>
              <v:shape id="_x0000_s1026" o:spid="_x0000_s1026" o:spt="100" style="position:absolute;left:0pt;margin-left:5.9pt;margin-top:12.35pt;height:0.5pt;width:595.35pt;z-index:251672576;mso-width-relative:page;mso-height-relative:page;" filled="f" stroked="t" coordsize="11906,10" o:gfxdata="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2zIewdcAAAAJAQAADwAAAAAAAAABACAA&#10;AAAiAAAAZHJzL2Rvd25yZXYueG1sUEsBAhQAFAAAAAgAh07iQMzUmTJHAgAAqgQAAA4AAAAAAAAA&#10;AQAgAAAAJgEAAGRycy9lMm9Eb2MueG1sUEsFBgAAAAAGAAYAWQEAAN8FAAAAAA==&#10;" path="m12854,5l-302,5e">
                <v:fill on="f" focussize="0,0"/>
                <v:stroke weight="0.5pt" color="#000000" miterlimit="10" joinstyle="miter" endcap="round"/>
                <v:imagedata o:title=""/>
                <o:lock v:ext="edit" aspectratio="f"/>
              </v:shape>
            </w:pict>
          </mc:Fallback>
        </mc:AlternateContent>
      </w:r>
    </w:p>
    <w:p>
      <w:pPr>
        <w:pStyle w:val="5"/>
        <w:keepNext w:val="0"/>
        <w:keepLines w:val="0"/>
        <w:pageBreakBefore w:val="0"/>
        <w:widowControl/>
        <w:kinsoku/>
        <w:wordWrap/>
        <w:topLinePunct w:val="0"/>
        <w:bidi w:val="0"/>
        <w:spacing w:line="245"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5" w:lineRule="auto"/>
        <w:rPr>
          <w:rFonts w:hint="default" w:ascii="Times New Roman" w:hAnsi="Times New Roman" w:cs="Times New Roman"/>
          <w:color w:val="auto"/>
          <w:highlight w:val="none"/>
        </w:rPr>
      </w:pPr>
    </w:p>
    <w:p>
      <w:pPr>
        <w:pStyle w:val="5"/>
        <w:keepNext w:val="0"/>
        <w:keepLines w:val="0"/>
        <w:pageBreakBefore w:val="0"/>
        <w:widowControl/>
        <w:kinsoku/>
        <w:wordWrap/>
        <w:topLinePunct w:val="0"/>
        <w:bidi w:val="0"/>
        <w:spacing w:line="246" w:lineRule="auto"/>
        <w:rPr>
          <w:rFonts w:hint="default" w:ascii="Times New Roman" w:hAnsi="Times New Roman" w:cs="Times New Roman"/>
          <w:color w:val="auto"/>
          <w:highlight w:val="none"/>
        </w:rPr>
      </w:pPr>
    </w:p>
    <w:p>
      <w:pPr>
        <w:keepNext w:val="0"/>
        <w:keepLines w:val="0"/>
        <w:pageBreakBefore w:val="0"/>
        <w:widowControl/>
        <w:kinsoku/>
        <w:wordWrap/>
        <w:topLinePunct w:val="0"/>
        <w:bidi w:val="0"/>
        <w:spacing w:before="191" w:line="232" w:lineRule="auto"/>
        <w:ind w:firstLine="710" w:firstLineChars="100"/>
        <w:outlineLvl w:val="0"/>
        <w:rPr>
          <w:rFonts w:hint="default" w:ascii="Times New Roman" w:hAnsi="Times New Roman" w:eastAsia="方正黑体_GBK" w:cs="Times New Roman"/>
          <w:color w:val="auto"/>
          <w:spacing w:val="-5"/>
          <w:sz w:val="72"/>
          <w:szCs w:val="72"/>
          <w:highlight w:val="none"/>
        </w:rPr>
      </w:pPr>
      <w:bookmarkStart w:id="47" w:name="_Toc71824088"/>
      <w:r>
        <w:rPr>
          <w:rFonts w:hint="default" w:ascii="Times New Roman" w:hAnsi="Times New Roman" w:eastAsia="方正黑体_GBK" w:cs="Times New Roman"/>
          <w:color w:val="auto"/>
          <w:spacing w:val="-5"/>
          <w:sz w:val="72"/>
          <w:szCs w:val="72"/>
          <w:highlight w:val="none"/>
        </w:rPr>
        <mc:AlternateContent>
          <mc:Choice Requires="wps">
            <w:drawing>
              <wp:anchor distT="0" distB="0" distL="114300" distR="114300" simplePos="0" relativeHeight="251673600" behindDoc="0" locked="0" layoutInCell="1" allowOverlap="1">
                <wp:simplePos x="0" y="0"/>
                <wp:positionH relativeFrom="column">
                  <wp:posOffset>3175</wp:posOffset>
                </wp:positionH>
                <wp:positionV relativeFrom="paragraph">
                  <wp:posOffset>1294765</wp:posOffset>
                </wp:positionV>
                <wp:extent cx="7560945" cy="6350"/>
                <wp:effectExtent l="0" t="0" r="0" b="0"/>
                <wp:wrapNone/>
                <wp:docPr id="19" name="任意多边形 19"/>
                <wp:cNvGraphicFramePr/>
                <a:graphic xmlns:a="http://schemas.openxmlformats.org/drawingml/2006/main">
                  <a:graphicData uri="http://schemas.microsoft.com/office/word/2010/wordprocessingShape">
                    <wps:wsp>
                      <wps:cNvSpPr/>
                      <wps:spPr>
                        <a:xfrm>
                          <a:off x="0" y="0"/>
                          <a:ext cx="7560945" cy="6350"/>
                        </a:xfrm>
                        <a:custGeom>
                          <a:avLst/>
                          <a:gdLst/>
                          <a:ahLst/>
                          <a:cxnLst/>
                          <a:pathLst>
                            <a:path w="11906" h="10">
                              <a:moveTo>
                                <a:pt x="-302" y="5"/>
                              </a:moveTo>
                              <a:lnTo>
                                <a:pt x="12854" y="5"/>
                              </a:lnTo>
                            </a:path>
                          </a:pathLst>
                        </a:custGeom>
                        <a:noFill/>
                        <a:ln w="6350" cap="rnd" cmpd="sng">
                          <a:solidFill>
                            <a:srgbClr val="000000"/>
                          </a:solidFill>
                          <a:prstDash val="solid"/>
                          <a:miter lim="1000000"/>
                          <a:headEnd type="none" w="med" len="med"/>
                          <a:tailEnd type="none" w="med" len="med"/>
                        </a:ln>
                      </wps:spPr>
                      <wps:bodyPr upright="1"/>
                    </wps:wsp>
                  </a:graphicData>
                </a:graphic>
              </wp:anchor>
            </w:drawing>
          </mc:Choice>
          <mc:Fallback>
            <w:pict>
              <v:shape id="_x0000_s1026" o:spid="_x0000_s1026" o:spt="100" style="position:absolute;left:0pt;margin-left:0.25pt;margin-top:101.95pt;height:0.5pt;width:595.35pt;z-index:251673600;mso-width-relative:page;mso-height-relative:page;" filled="f" stroked="t" coordsize="11906,10" o:gfxdata="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VYos3dcAAAAJAQAADwAAAAAAAAABACAA&#10;AAAiAAAAZHJzL2Rvd25yZXYueG1sUEsBAhQAFAAAAAgAh07iQCqjzatHAgAAqgQAAA4AAAAAAAAA&#10;AQAgAAAAJgEAAGRycy9lMm9Eb2MueG1sUEsFBgAAAAAGAAYAWQEAAN8FAAAAAA==&#10;" path="m-302,5l12854,5e">
                <v:fill on="f" focussize="0,0"/>
                <v:stroke weight="0.5pt" color="#000000" miterlimit="10" joinstyle="miter" endcap="round"/>
                <v:imagedata o:title=""/>
                <o:lock v:ext="edit" aspectratio="f"/>
              </v:shape>
            </w:pict>
          </mc:Fallback>
        </mc:AlternateContent>
      </w:r>
      <w:r>
        <w:rPr>
          <w:rFonts w:hint="default" w:ascii="Times New Roman" w:hAnsi="Times New Roman" w:eastAsia="方正黑体_GBK" w:cs="Times New Roman"/>
          <w:color w:val="auto"/>
          <w:spacing w:val="-5"/>
          <w:sz w:val="72"/>
          <w:szCs w:val="72"/>
          <w:highlight w:val="none"/>
        </w:rPr>
        <w:t>第四部分</w:t>
      </w:r>
      <w:bookmarkEnd w:id="47"/>
      <w:bookmarkStart w:id="48" w:name="_Toc1511929582"/>
      <w:r>
        <w:rPr>
          <w:rFonts w:hint="eastAsia" w:ascii="Times New Roman" w:hAnsi="Times New Roman" w:eastAsia="方正黑体_GBK" w:cs="Times New Roman"/>
          <w:color w:val="auto"/>
          <w:spacing w:val="-5"/>
          <w:sz w:val="72"/>
          <w:szCs w:val="72"/>
          <w:highlight w:val="none"/>
          <w:lang w:val="en-US" w:eastAsia="zh-CN"/>
        </w:rPr>
        <w:t xml:space="preserve">  </w:t>
      </w:r>
      <w:r>
        <w:rPr>
          <w:rFonts w:hint="default" w:ascii="Times New Roman" w:hAnsi="Times New Roman" w:eastAsia="方正黑体_GBK" w:cs="Times New Roman"/>
          <w:color w:val="auto"/>
          <w:spacing w:val="-5"/>
          <w:sz w:val="72"/>
          <w:szCs w:val="72"/>
          <w:highlight w:val="none"/>
        </w:rPr>
        <w:t>名词解释</w:t>
      </w:r>
      <w:bookmarkEnd w:id="48"/>
    </w:p>
    <w:p>
      <w:pPr>
        <w:keepNext w:val="0"/>
        <w:keepLines w:val="0"/>
        <w:pageBreakBefore w:val="0"/>
        <w:widowControl/>
        <w:kinsoku/>
        <w:wordWrap/>
        <w:topLinePunct w:val="0"/>
        <w:bidi w:val="0"/>
        <w:spacing w:line="233" w:lineRule="auto"/>
        <w:rPr>
          <w:rFonts w:hint="default" w:ascii="Times New Roman" w:hAnsi="Times New Roman" w:eastAsia="方正黑体_GBK" w:cs="Times New Roman"/>
          <w:color w:val="auto"/>
          <w:sz w:val="72"/>
          <w:szCs w:val="72"/>
          <w:highlight w:val="none"/>
        </w:rPr>
        <w:sectPr>
          <w:footerReference r:id="rId13" w:type="default"/>
          <w:pgSz w:w="11907" w:h="16839"/>
          <w:pgMar w:top="1431" w:right="0" w:bottom="943" w:left="0" w:header="0" w:footer="676" w:gutter="0"/>
          <w:pgBorders>
            <w:top w:val="none" w:sz="0" w:space="0"/>
            <w:left w:val="none" w:sz="0" w:space="0"/>
            <w:bottom w:val="none" w:sz="0" w:space="0"/>
            <w:right w:val="none" w:sz="0" w:space="0"/>
          </w:pgBorders>
          <w:pgNumType w:fmt="decimal"/>
          <w:cols w:space="720" w:num="1"/>
        </w:sectPr>
      </w:pPr>
    </w:p>
    <w:p>
      <w:pPr>
        <w:keepNext w:val="0"/>
        <w:keepLines w:val="0"/>
        <w:pageBreakBefore w:val="0"/>
        <w:widowControl/>
        <w:numPr>
          <w:ilvl w:val="0"/>
          <w:numId w:val="0"/>
        </w:numPr>
        <w:kinsoku/>
        <w:wordWrap/>
        <w:overflowPunct/>
        <w:topLinePunct w:val="0"/>
        <w:autoSpaceDE w:val="0"/>
        <w:autoSpaceDN w:val="0"/>
        <w:bidi w:val="0"/>
        <w:adjustRightInd w:val="0"/>
        <w:snapToGrid w:val="0"/>
        <w:spacing w:before="113" w:line="600" w:lineRule="exact"/>
        <w:ind w:right="67" w:rightChars="0" w:firstLine="646" w:firstLineChars="200"/>
        <w:jc w:val="both"/>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6"/>
          <w:sz w:val="31"/>
          <w:szCs w:val="31"/>
          <w:highlight w:val="none"/>
          <w:lang w:eastAsia="zh-CN"/>
        </w:rPr>
        <w:t>一、</w:t>
      </w:r>
      <w:r>
        <w:rPr>
          <w:rFonts w:hint="default" w:ascii="Times New Roman" w:hAnsi="Times New Roman" w:eastAsia="方正仿宋_GBK" w:cs="Times New Roman"/>
          <w:b/>
          <w:bCs/>
          <w:color w:val="auto"/>
          <w:spacing w:val="6"/>
          <w:sz w:val="31"/>
          <w:szCs w:val="31"/>
          <w:highlight w:val="none"/>
        </w:rPr>
        <w:t>一般公共预算</w:t>
      </w:r>
      <w:r>
        <w:rPr>
          <w:rFonts w:hint="default" w:ascii="Times New Roman" w:hAnsi="Times New Roman" w:eastAsia="方正仿宋_GBK" w:cs="Times New Roman"/>
          <w:b/>
          <w:bCs/>
          <w:color w:val="auto"/>
          <w:spacing w:val="6"/>
          <w:sz w:val="31"/>
          <w:szCs w:val="31"/>
          <w:highlight w:val="none"/>
          <w:lang w:eastAsia="zh-CN"/>
        </w:rPr>
        <w:t>财政</w:t>
      </w:r>
      <w:r>
        <w:rPr>
          <w:rFonts w:hint="default" w:ascii="Times New Roman" w:hAnsi="Times New Roman" w:eastAsia="方正仿宋_GBK" w:cs="Times New Roman"/>
          <w:b/>
          <w:bCs/>
          <w:color w:val="auto"/>
          <w:spacing w:val="6"/>
          <w:sz w:val="31"/>
          <w:szCs w:val="31"/>
          <w:highlight w:val="none"/>
        </w:rPr>
        <w:t>拨款收入：</w:t>
      </w:r>
      <w:r>
        <w:rPr>
          <w:rFonts w:hint="default" w:ascii="Times New Roman" w:hAnsi="Times New Roman" w:eastAsia="方正仿宋_GBK" w:cs="Times New Roman"/>
          <w:color w:val="auto"/>
          <w:spacing w:val="6"/>
          <w:sz w:val="31"/>
          <w:szCs w:val="31"/>
          <w:highlight w:val="none"/>
        </w:rPr>
        <w:t>指中央财政当年拨付的资金。</w:t>
      </w:r>
    </w:p>
    <w:p>
      <w:pPr>
        <w:keepNext w:val="0"/>
        <w:keepLines w:val="0"/>
        <w:pageBreakBefore w:val="0"/>
        <w:widowControl/>
        <w:kinsoku/>
        <w:wordWrap/>
        <w:overflowPunct/>
        <w:topLinePunct w:val="0"/>
        <w:autoSpaceDE w:val="0"/>
        <w:autoSpaceDN w:val="0"/>
        <w:bidi w:val="0"/>
        <w:adjustRightInd w:val="0"/>
        <w:snapToGrid w:val="0"/>
        <w:spacing w:line="600" w:lineRule="exact"/>
        <w:ind w:right="0" w:firstLine="634" w:firstLineChars="200"/>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3"/>
          <w:sz w:val="31"/>
          <w:szCs w:val="31"/>
          <w:highlight w:val="none"/>
        </w:rPr>
        <w:t>二、事业收入：</w:t>
      </w:r>
      <w:r>
        <w:rPr>
          <w:rFonts w:hint="default" w:ascii="Times New Roman" w:hAnsi="Times New Roman" w:eastAsia="方正仿宋_GBK" w:cs="Times New Roman"/>
          <w:color w:val="auto"/>
          <w:spacing w:val="3"/>
          <w:sz w:val="31"/>
          <w:szCs w:val="31"/>
          <w:highlight w:val="none"/>
        </w:rPr>
        <w:t>指事业单位开展专业业务活动及辅助活动取得的收入。</w:t>
      </w:r>
    </w:p>
    <w:p>
      <w:pPr>
        <w:keepNext w:val="0"/>
        <w:keepLines w:val="0"/>
        <w:pageBreakBefore w:val="0"/>
        <w:widowControl/>
        <w:kinsoku/>
        <w:wordWrap/>
        <w:overflowPunct/>
        <w:topLinePunct w:val="0"/>
        <w:autoSpaceDE w:val="0"/>
        <w:autoSpaceDN w:val="0"/>
        <w:bidi w:val="0"/>
        <w:adjustRightInd w:val="0"/>
        <w:snapToGrid w:val="0"/>
        <w:spacing w:line="600" w:lineRule="exact"/>
        <w:ind w:right="0" w:firstLine="654" w:firstLineChars="200"/>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8"/>
          <w:sz w:val="31"/>
          <w:szCs w:val="31"/>
          <w:highlight w:val="none"/>
        </w:rPr>
        <w:t>三、其他收入：</w:t>
      </w:r>
      <w:r>
        <w:rPr>
          <w:rFonts w:hint="default" w:ascii="Times New Roman" w:hAnsi="Times New Roman" w:eastAsia="方正仿宋_GBK" w:cs="Times New Roman"/>
          <w:color w:val="auto"/>
          <w:spacing w:val="8"/>
          <w:sz w:val="31"/>
          <w:szCs w:val="31"/>
          <w:highlight w:val="none"/>
        </w:rPr>
        <w:t>指除上述</w:t>
      </w:r>
      <w:r>
        <w:rPr>
          <w:rFonts w:hint="eastAsia" w:ascii="Times New Roman" w:hAnsi="Times New Roman" w:eastAsia="宋体" w:cs="Times New Roman"/>
          <w:color w:val="auto"/>
          <w:spacing w:val="8"/>
          <w:sz w:val="31"/>
          <w:szCs w:val="31"/>
          <w:highlight w:val="none"/>
          <w:lang w:eastAsia="zh-CN"/>
        </w:rPr>
        <w:t>“</w:t>
      </w:r>
      <w:r>
        <w:rPr>
          <w:rFonts w:hint="default" w:ascii="Times New Roman" w:hAnsi="Times New Roman" w:eastAsia="Times New Roman" w:cs="Times New Roman"/>
          <w:color w:val="auto"/>
          <w:spacing w:val="-34"/>
          <w:sz w:val="31"/>
          <w:szCs w:val="31"/>
          <w:highlight w:val="none"/>
        </w:rPr>
        <w:t xml:space="preserve"> </w:t>
      </w:r>
      <w:r>
        <w:rPr>
          <w:rFonts w:hint="default" w:ascii="Times New Roman" w:hAnsi="Times New Roman" w:eastAsia="方正仿宋_GBK" w:cs="Times New Roman"/>
          <w:color w:val="auto"/>
          <w:spacing w:val="8"/>
          <w:sz w:val="31"/>
          <w:szCs w:val="31"/>
          <w:highlight w:val="none"/>
        </w:rPr>
        <w:t>一般公共预算</w:t>
      </w:r>
      <w:r>
        <w:rPr>
          <w:rFonts w:hint="eastAsia" w:ascii="Times New Roman" w:hAnsi="Times New Roman" w:eastAsia="方正仿宋_GBK" w:cs="Times New Roman"/>
          <w:color w:val="auto"/>
          <w:spacing w:val="8"/>
          <w:sz w:val="31"/>
          <w:szCs w:val="31"/>
          <w:highlight w:val="none"/>
          <w:lang w:eastAsia="zh-CN"/>
        </w:rPr>
        <w:t>财政</w:t>
      </w:r>
      <w:r>
        <w:rPr>
          <w:rFonts w:hint="default" w:ascii="Times New Roman" w:hAnsi="Times New Roman" w:eastAsia="方正仿宋_GBK" w:cs="Times New Roman"/>
          <w:color w:val="auto"/>
          <w:spacing w:val="8"/>
          <w:sz w:val="31"/>
          <w:szCs w:val="31"/>
          <w:highlight w:val="none"/>
        </w:rPr>
        <w:t>拨款收入</w:t>
      </w:r>
      <w:r>
        <w:rPr>
          <w:rFonts w:hint="default" w:ascii="Times New Roman" w:hAnsi="Times New Roman" w:eastAsia="Times New Roman" w:cs="Times New Roman"/>
          <w:color w:val="auto"/>
          <w:spacing w:val="8"/>
          <w:sz w:val="31"/>
          <w:szCs w:val="31"/>
          <w:highlight w:val="none"/>
        </w:rPr>
        <w:t>”</w:t>
      </w:r>
      <w:r>
        <w:rPr>
          <w:rFonts w:hint="eastAsia" w:ascii="Times New Roman" w:hAnsi="Times New Roman" w:eastAsia="宋体" w:cs="Times New Roman"/>
          <w:color w:val="auto"/>
          <w:spacing w:val="8"/>
          <w:sz w:val="31"/>
          <w:szCs w:val="31"/>
          <w:highlight w:val="none"/>
          <w:lang w:eastAsia="zh-CN"/>
        </w:rPr>
        <w:t>“</w:t>
      </w:r>
      <w:r>
        <w:rPr>
          <w:rFonts w:hint="default" w:ascii="Times New Roman" w:hAnsi="Times New Roman" w:eastAsia="方正仿宋_GBK" w:cs="Times New Roman"/>
          <w:color w:val="auto"/>
          <w:spacing w:val="8"/>
          <w:sz w:val="31"/>
          <w:szCs w:val="31"/>
          <w:highlight w:val="none"/>
        </w:rPr>
        <w:t>事业收</w:t>
      </w:r>
      <w:r>
        <w:rPr>
          <w:rFonts w:hint="default" w:ascii="Times New Roman" w:hAnsi="Times New Roman" w:eastAsia="方正仿宋_GBK" w:cs="Times New Roman"/>
          <w:color w:val="auto"/>
          <w:spacing w:val="7"/>
          <w:sz w:val="31"/>
          <w:szCs w:val="31"/>
          <w:highlight w:val="none"/>
        </w:rPr>
        <w:t>入</w:t>
      </w:r>
      <w:r>
        <w:rPr>
          <w:rFonts w:hint="default" w:ascii="Times New Roman" w:hAnsi="Times New Roman" w:eastAsia="Times New Roman" w:cs="Times New Roman"/>
          <w:color w:val="auto"/>
          <w:spacing w:val="7"/>
          <w:sz w:val="31"/>
          <w:szCs w:val="31"/>
          <w:highlight w:val="none"/>
        </w:rPr>
        <w:t>”</w:t>
      </w:r>
      <w:r>
        <w:rPr>
          <w:rFonts w:hint="default" w:ascii="Times New Roman" w:hAnsi="Times New Roman" w:eastAsia="方正仿宋_GBK" w:cs="Times New Roman"/>
          <w:color w:val="auto"/>
          <w:spacing w:val="7"/>
          <w:sz w:val="31"/>
          <w:szCs w:val="31"/>
          <w:highlight w:val="none"/>
        </w:rPr>
        <w:t>以外的收入。</w:t>
      </w:r>
      <w:r>
        <w:rPr>
          <w:rFonts w:hint="default" w:ascii="Times New Roman" w:hAnsi="Times New Roman" w:eastAsia="方正仿宋_GBK" w:cs="Times New Roman"/>
          <w:color w:val="auto"/>
          <w:spacing w:val="-70"/>
          <w:sz w:val="31"/>
          <w:szCs w:val="31"/>
          <w:highlight w:val="none"/>
        </w:rPr>
        <w:t xml:space="preserve"> </w:t>
      </w:r>
      <w:r>
        <w:rPr>
          <w:rFonts w:hint="eastAsia" w:ascii="Times New Roman" w:hAnsi="Times New Roman" w:eastAsia="方正仿宋_GBK" w:cs="Times New Roman"/>
          <w:color w:val="auto"/>
          <w:spacing w:val="7"/>
          <w:sz w:val="31"/>
          <w:szCs w:val="31"/>
          <w:highlight w:val="none"/>
          <w:lang w:eastAsia="zh-CN"/>
        </w:rPr>
        <w:t>资兴市消防救援大队</w:t>
      </w:r>
      <w:r>
        <w:rPr>
          <w:rFonts w:hint="default" w:ascii="Times New Roman" w:hAnsi="Times New Roman" w:eastAsia="方正仿宋_GBK" w:cs="Times New Roman"/>
          <w:color w:val="auto"/>
          <w:spacing w:val="7"/>
          <w:sz w:val="31"/>
          <w:szCs w:val="31"/>
          <w:highlight w:val="none"/>
        </w:rPr>
        <w:t>的其他收入主要是地方政府财</w:t>
      </w:r>
      <w:r>
        <w:rPr>
          <w:rFonts w:hint="default" w:ascii="Times New Roman" w:hAnsi="Times New Roman" w:eastAsia="方正仿宋_GBK" w:cs="Times New Roman"/>
          <w:color w:val="auto"/>
          <w:spacing w:val="6"/>
          <w:sz w:val="31"/>
          <w:szCs w:val="31"/>
          <w:highlight w:val="none"/>
        </w:rPr>
        <w:t>政部门拨付的经费。</w:t>
      </w:r>
    </w:p>
    <w:p>
      <w:pPr>
        <w:keepNext w:val="0"/>
        <w:keepLines w:val="0"/>
        <w:pageBreakBefore w:val="0"/>
        <w:widowControl/>
        <w:kinsoku/>
        <w:wordWrap/>
        <w:overflowPunct/>
        <w:topLinePunct w:val="0"/>
        <w:autoSpaceDE w:val="0"/>
        <w:autoSpaceDN w:val="0"/>
        <w:bidi w:val="0"/>
        <w:adjustRightInd w:val="0"/>
        <w:snapToGrid w:val="0"/>
        <w:spacing w:line="600" w:lineRule="exact"/>
        <w:ind w:left="0" w:right="0" w:firstLine="686"/>
        <w:textAlignment w:val="baseline"/>
        <w:rPr>
          <w:rFonts w:hint="default" w:ascii="Times New Roman" w:hAnsi="Times New Roman" w:eastAsia="方正仿宋_GBK" w:cs="Times New Roman"/>
          <w:color w:val="auto"/>
          <w:spacing w:val="2"/>
          <w:sz w:val="31"/>
          <w:szCs w:val="31"/>
          <w:highlight w:val="none"/>
        </w:rPr>
      </w:pPr>
      <w:r>
        <w:rPr>
          <w:rFonts w:hint="default" w:ascii="Times New Roman" w:hAnsi="Times New Roman" w:eastAsia="方正仿宋_GBK" w:cs="Times New Roman"/>
          <w:b/>
          <w:bCs/>
          <w:color w:val="auto"/>
          <w:spacing w:val="2"/>
          <w:sz w:val="31"/>
          <w:szCs w:val="31"/>
          <w:highlight w:val="none"/>
        </w:rPr>
        <w:t>四、年初结转和结余：</w:t>
      </w:r>
      <w:r>
        <w:rPr>
          <w:rFonts w:hint="default" w:ascii="Times New Roman" w:hAnsi="Times New Roman" w:eastAsia="方正仿宋_GBK" w:cs="Times New Roman"/>
          <w:color w:val="auto"/>
          <w:spacing w:val="2"/>
          <w:sz w:val="31"/>
          <w:szCs w:val="31"/>
          <w:highlight w:val="none"/>
        </w:rPr>
        <w:t>指单位以前年度尚未完成、结</w:t>
      </w:r>
      <w:r>
        <w:rPr>
          <w:rFonts w:hint="default" w:ascii="Times New Roman" w:hAnsi="Times New Roman" w:eastAsia="方正仿宋_GBK" w:cs="Times New Roman"/>
          <w:color w:val="auto"/>
          <w:spacing w:val="1"/>
          <w:sz w:val="31"/>
          <w:szCs w:val="31"/>
          <w:highlight w:val="none"/>
        </w:rPr>
        <w:t>转到本</w:t>
      </w:r>
      <w:r>
        <w:rPr>
          <w:rFonts w:hint="default" w:ascii="Times New Roman" w:hAnsi="Times New Roman" w:eastAsia="方正仿宋_GBK" w:cs="Times New Roman"/>
          <w:color w:val="auto"/>
          <w:spacing w:val="5"/>
          <w:sz w:val="31"/>
          <w:szCs w:val="31"/>
          <w:highlight w:val="none"/>
        </w:rPr>
        <w:t>年仍按原规定用途继续使用的资金，或项目已完成等产生的结余</w:t>
      </w:r>
      <w:r>
        <w:rPr>
          <w:rFonts w:hint="default" w:ascii="Times New Roman" w:hAnsi="Times New Roman" w:eastAsia="方正仿宋_GBK" w:cs="Times New Roman"/>
          <w:color w:val="auto"/>
          <w:spacing w:val="-7"/>
          <w:sz w:val="31"/>
          <w:szCs w:val="31"/>
          <w:highlight w:val="none"/>
        </w:rPr>
        <w:t>资金。</w:t>
      </w:r>
    </w:p>
    <w:p>
      <w:pPr>
        <w:keepNext w:val="0"/>
        <w:keepLines w:val="0"/>
        <w:pageBreakBefore w:val="0"/>
        <w:widowControl/>
        <w:kinsoku/>
        <w:wordWrap/>
        <w:overflowPunct/>
        <w:topLinePunct w:val="0"/>
        <w:autoSpaceDE w:val="0"/>
        <w:autoSpaceDN w:val="0"/>
        <w:bidi w:val="0"/>
        <w:adjustRightInd w:val="0"/>
        <w:snapToGrid w:val="0"/>
        <w:spacing w:line="600" w:lineRule="exact"/>
        <w:ind w:left="0" w:right="0" w:firstLine="686"/>
        <w:textAlignment w:val="baseline"/>
        <w:rPr>
          <w:rFonts w:hint="default" w:ascii="Times New Roman" w:hAnsi="Times New Roman" w:eastAsia="方正仿宋_GBK" w:cs="Times New Roman"/>
          <w:color w:val="auto"/>
          <w:spacing w:val="2"/>
          <w:sz w:val="31"/>
          <w:szCs w:val="31"/>
          <w:highlight w:val="none"/>
          <w:lang w:eastAsia="zh-CN"/>
        </w:rPr>
      </w:pPr>
      <w:r>
        <w:rPr>
          <w:rFonts w:hint="default" w:ascii="Times New Roman" w:hAnsi="Times New Roman" w:eastAsia="方正仿宋_GBK" w:cs="Times New Roman"/>
          <w:b/>
          <w:bCs/>
          <w:color w:val="auto"/>
          <w:spacing w:val="2"/>
          <w:sz w:val="31"/>
          <w:szCs w:val="31"/>
          <w:highlight w:val="none"/>
          <w:lang w:eastAsia="zh-CN"/>
        </w:rPr>
        <w:t>五、结余分配：</w:t>
      </w:r>
      <w:r>
        <w:rPr>
          <w:rFonts w:hint="default" w:ascii="Times New Roman" w:hAnsi="Times New Roman" w:eastAsia="方正仿宋_GBK" w:cs="Times New Roman"/>
          <w:color w:val="auto"/>
          <w:spacing w:val="2"/>
          <w:sz w:val="31"/>
          <w:szCs w:val="31"/>
          <w:highlight w:val="none"/>
        </w:rPr>
        <w:t>指事业单位按照会计制度规定缴纳的所得税、提取的专用结余以及转入非财政拨款结余的金额等。</w:t>
      </w:r>
    </w:p>
    <w:p>
      <w:pPr>
        <w:keepNext w:val="0"/>
        <w:keepLines w:val="0"/>
        <w:pageBreakBefore w:val="0"/>
        <w:widowControl/>
        <w:kinsoku/>
        <w:wordWrap/>
        <w:overflowPunct/>
        <w:topLinePunct w:val="0"/>
        <w:autoSpaceDE w:val="0"/>
        <w:autoSpaceDN w:val="0"/>
        <w:bidi w:val="0"/>
        <w:adjustRightInd w:val="0"/>
        <w:snapToGrid w:val="0"/>
        <w:spacing w:line="600" w:lineRule="exact"/>
        <w:ind w:left="25" w:firstLine="654"/>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4"/>
          <w:sz w:val="31"/>
          <w:szCs w:val="31"/>
          <w:highlight w:val="none"/>
          <w:lang w:eastAsia="zh-CN"/>
        </w:rPr>
        <w:t>六</w:t>
      </w:r>
      <w:r>
        <w:rPr>
          <w:rFonts w:hint="default" w:ascii="Times New Roman" w:hAnsi="Times New Roman" w:eastAsia="方正仿宋_GBK" w:cs="Times New Roman"/>
          <w:b/>
          <w:bCs/>
          <w:color w:val="auto"/>
          <w:spacing w:val="-4"/>
          <w:sz w:val="31"/>
          <w:szCs w:val="31"/>
          <w:highlight w:val="none"/>
        </w:rPr>
        <w:t>、社会保障和就业支出（类）行政事业单位</w:t>
      </w:r>
      <w:r>
        <w:rPr>
          <w:rFonts w:hint="default" w:ascii="Times New Roman" w:hAnsi="Times New Roman" w:eastAsia="方正仿宋_GBK" w:cs="Times New Roman"/>
          <w:b/>
          <w:bCs/>
          <w:color w:val="auto"/>
          <w:spacing w:val="-5"/>
          <w:sz w:val="31"/>
          <w:szCs w:val="31"/>
          <w:highlight w:val="none"/>
        </w:rPr>
        <w:t>养老支出（款）</w:t>
      </w:r>
      <w:r>
        <w:rPr>
          <w:rFonts w:hint="default" w:ascii="Times New Roman" w:hAnsi="Times New Roman" w:eastAsia="方正仿宋_GBK" w:cs="Times New Roman"/>
          <w:b/>
          <w:bCs/>
          <w:color w:val="auto"/>
          <w:sz w:val="31"/>
          <w:szCs w:val="31"/>
          <w:highlight w:val="none"/>
        </w:rPr>
        <w:t>机关事业单位基本养老保险缴费支出（项</w:t>
      </w:r>
      <w:r>
        <w:rPr>
          <w:rFonts w:hint="default" w:ascii="Times New Roman" w:hAnsi="Times New Roman" w:eastAsia="方正仿宋_GBK" w:cs="Times New Roman"/>
          <w:b/>
          <w:bCs/>
          <w:color w:val="auto"/>
          <w:spacing w:val="-6"/>
          <w:sz w:val="31"/>
          <w:szCs w:val="31"/>
          <w:highlight w:val="none"/>
        </w:rPr>
        <w:t>）：</w:t>
      </w:r>
      <w:r>
        <w:rPr>
          <w:rFonts w:hint="default" w:ascii="Times New Roman" w:hAnsi="Times New Roman" w:eastAsia="方正仿宋_GBK" w:cs="Times New Roman"/>
          <w:color w:val="auto"/>
          <w:spacing w:val="-41"/>
          <w:sz w:val="31"/>
          <w:szCs w:val="31"/>
          <w:highlight w:val="none"/>
        </w:rPr>
        <w:t xml:space="preserve"> </w:t>
      </w:r>
      <w:r>
        <w:rPr>
          <w:rFonts w:hint="default" w:ascii="Times New Roman" w:hAnsi="Times New Roman" w:eastAsia="方正仿宋_GBK" w:cs="Times New Roman"/>
          <w:color w:val="auto"/>
          <w:sz w:val="31"/>
          <w:szCs w:val="31"/>
          <w:highlight w:val="none"/>
        </w:rPr>
        <w:t>反映机关事业单位</w:t>
      </w:r>
      <w:r>
        <w:rPr>
          <w:rFonts w:hint="default" w:ascii="Times New Roman" w:hAnsi="Times New Roman" w:eastAsia="方正仿宋_GBK" w:cs="Times New Roman"/>
          <w:color w:val="auto"/>
          <w:spacing w:val="8"/>
          <w:sz w:val="31"/>
          <w:szCs w:val="31"/>
          <w:highlight w:val="none"/>
        </w:rPr>
        <w:t>实施养老保险制度由单位缴纳的基本养老保</w:t>
      </w:r>
      <w:r>
        <w:rPr>
          <w:rFonts w:hint="default" w:ascii="Times New Roman" w:hAnsi="Times New Roman" w:eastAsia="方正仿宋_GBK" w:cs="Times New Roman"/>
          <w:color w:val="auto"/>
          <w:spacing w:val="7"/>
          <w:sz w:val="31"/>
          <w:szCs w:val="31"/>
          <w:highlight w:val="none"/>
        </w:rPr>
        <w:t>险费支出。</w:t>
      </w:r>
    </w:p>
    <w:p>
      <w:pPr>
        <w:keepNext w:val="0"/>
        <w:keepLines w:val="0"/>
        <w:pageBreakBefore w:val="0"/>
        <w:widowControl/>
        <w:kinsoku/>
        <w:wordWrap/>
        <w:overflowPunct/>
        <w:topLinePunct w:val="0"/>
        <w:autoSpaceDE w:val="0"/>
        <w:autoSpaceDN w:val="0"/>
        <w:bidi w:val="0"/>
        <w:adjustRightInd w:val="0"/>
        <w:snapToGrid w:val="0"/>
        <w:spacing w:before="2" w:line="600" w:lineRule="exact"/>
        <w:ind w:right="5" w:firstLine="602" w:firstLineChars="200"/>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5"/>
          <w:sz w:val="31"/>
          <w:szCs w:val="31"/>
          <w:highlight w:val="none"/>
          <w:lang w:eastAsia="zh-CN"/>
        </w:rPr>
        <w:t>七</w:t>
      </w:r>
      <w:r>
        <w:rPr>
          <w:rFonts w:hint="default" w:ascii="Times New Roman" w:hAnsi="Times New Roman" w:eastAsia="方正仿宋_GBK" w:cs="Times New Roman"/>
          <w:b/>
          <w:bCs/>
          <w:color w:val="auto"/>
          <w:spacing w:val="-5"/>
          <w:sz w:val="31"/>
          <w:szCs w:val="31"/>
          <w:highlight w:val="none"/>
        </w:rPr>
        <w:t>、社会保障和就业支出（类）行政事业单位养老支出（款）</w:t>
      </w:r>
      <w:r>
        <w:rPr>
          <w:rFonts w:hint="default" w:ascii="Times New Roman" w:hAnsi="Times New Roman" w:eastAsia="方正仿宋_GBK" w:cs="Times New Roman"/>
          <w:b/>
          <w:bCs/>
          <w:color w:val="auto"/>
          <w:spacing w:val="5"/>
          <w:sz w:val="31"/>
          <w:szCs w:val="31"/>
          <w:highlight w:val="none"/>
        </w:rPr>
        <w:t>机关事业单位职业年金缴费支出（项</w:t>
      </w:r>
      <w:r>
        <w:rPr>
          <w:rFonts w:hint="default" w:ascii="Times New Roman" w:hAnsi="Times New Roman" w:eastAsia="方正仿宋_GBK" w:cs="Times New Roman"/>
          <w:b/>
          <w:bCs/>
          <w:color w:val="auto"/>
          <w:spacing w:val="-68"/>
          <w:sz w:val="31"/>
          <w:szCs w:val="31"/>
          <w:highlight w:val="none"/>
        </w:rPr>
        <w:t>）：</w:t>
      </w:r>
      <w:r>
        <w:rPr>
          <w:rFonts w:hint="default" w:ascii="Times New Roman" w:hAnsi="Times New Roman" w:eastAsia="方正仿宋_GBK" w:cs="Times New Roman"/>
          <w:color w:val="auto"/>
          <w:spacing w:val="-42"/>
          <w:sz w:val="31"/>
          <w:szCs w:val="31"/>
          <w:highlight w:val="none"/>
        </w:rPr>
        <w:t xml:space="preserve"> </w:t>
      </w:r>
      <w:r>
        <w:rPr>
          <w:rFonts w:hint="default" w:ascii="Times New Roman" w:hAnsi="Times New Roman" w:eastAsia="方正仿宋_GBK" w:cs="Times New Roman"/>
          <w:color w:val="auto"/>
          <w:spacing w:val="5"/>
          <w:sz w:val="31"/>
          <w:szCs w:val="31"/>
          <w:highlight w:val="none"/>
        </w:rPr>
        <w:t>反映机关事业单位实施</w:t>
      </w:r>
      <w:r>
        <w:rPr>
          <w:rFonts w:hint="default" w:ascii="Times New Roman" w:hAnsi="Times New Roman" w:eastAsia="方正仿宋_GBK" w:cs="Times New Roman"/>
          <w:color w:val="auto"/>
          <w:spacing w:val="8"/>
          <w:sz w:val="31"/>
          <w:szCs w:val="31"/>
          <w:highlight w:val="none"/>
        </w:rPr>
        <w:t>养老保险制度由单位缴纳的职业年金支出。</w:t>
      </w:r>
    </w:p>
    <w:p>
      <w:pPr>
        <w:keepNext w:val="0"/>
        <w:keepLines w:val="0"/>
        <w:pageBreakBefore w:val="0"/>
        <w:widowControl/>
        <w:kinsoku/>
        <w:wordWrap/>
        <w:overflowPunct/>
        <w:topLinePunct w:val="0"/>
        <w:autoSpaceDE w:val="0"/>
        <w:autoSpaceDN w:val="0"/>
        <w:bidi w:val="0"/>
        <w:adjustRightInd w:val="0"/>
        <w:snapToGrid w:val="0"/>
        <w:spacing w:line="600" w:lineRule="exact"/>
        <w:ind w:right="0" w:firstLine="626" w:firstLineChars="200"/>
        <w:textAlignment w:val="baseline"/>
        <w:rPr>
          <w:rFonts w:hint="default" w:ascii="Times New Roman" w:hAnsi="Times New Roman" w:eastAsia="方正仿宋_GBK" w:cs="Times New Roman"/>
          <w:color w:val="auto"/>
          <w:spacing w:val="5"/>
          <w:sz w:val="31"/>
          <w:szCs w:val="31"/>
          <w:highlight w:val="none"/>
        </w:rPr>
      </w:pPr>
      <w:r>
        <w:rPr>
          <w:rFonts w:hint="default" w:ascii="Times New Roman" w:hAnsi="Times New Roman" w:eastAsia="方正仿宋_GBK" w:cs="Times New Roman"/>
          <w:b/>
          <w:bCs/>
          <w:color w:val="auto"/>
          <w:spacing w:val="1"/>
          <w:sz w:val="31"/>
          <w:szCs w:val="31"/>
          <w:highlight w:val="none"/>
          <w:lang w:eastAsia="zh-CN"/>
        </w:rPr>
        <w:t>八</w:t>
      </w:r>
      <w:r>
        <w:rPr>
          <w:rFonts w:hint="default" w:ascii="Times New Roman" w:hAnsi="Times New Roman" w:eastAsia="方正仿宋_GBK" w:cs="Times New Roman"/>
          <w:b/>
          <w:bCs/>
          <w:color w:val="auto"/>
          <w:spacing w:val="1"/>
          <w:sz w:val="31"/>
          <w:szCs w:val="31"/>
          <w:highlight w:val="none"/>
        </w:rPr>
        <w:t>、卫生健康（类）行政事业单位医疗（款）行政单位医疗</w:t>
      </w:r>
      <w:r>
        <w:rPr>
          <w:rFonts w:hint="default" w:ascii="Times New Roman" w:hAnsi="Times New Roman" w:eastAsia="方正仿宋_GBK" w:cs="Times New Roman"/>
          <w:b/>
          <w:bCs/>
          <w:color w:val="auto"/>
          <w:spacing w:val="5"/>
          <w:sz w:val="31"/>
          <w:szCs w:val="31"/>
          <w:highlight w:val="none"/>
        </w:rPr>
        <w:t>（项</w:t>
      </w:r>
      <w:r>
        <w:rPr>
          <w:rFonts w:hint="default" w:ascii="Times New Roman" w:hAnsi="Times New Roman" w:eastAsia="方正仿宋_GBK" w:cs="Times New Roman"/>
          <w:b/>
          <w:bCs/>
          <w:color w:val="auto"/>
          <w:spacing w:val="3"/>
          <w:sz w:val="31"/>
          <w:szCs w:val="31"/>
          <w:highlight w:val="none"/>
        </w:rPr>
        <w:t>）：</w:t>
      </w:r>
      <w:r>
        <w:rPr>
          <w:rFonts w:hint="default" w:ascii="Times New Roman" w:hAnsi="Times New Roman" w:eastAsia="方正仿宋_GBK" w:cs="Times New Roman"/>
          <w:color w:val="auto"/>
          <w:spacing w:val="5"/>
          <w:sz w:val="31"/>
          <w:szCs w:val="31"/>
          <w:highlight w:val="none"/>
        </w:rPr>
        <w:t>反映财政部门安排的行政单位基本医疗保险缴费经费，</w:t>
      </w:r>
      <w:r>
        <w:rPr>
          <w:rFonts w:hint="default" w:ascii="Times New Roman" w:hAnsi="Times New Roman" w:eastAsia="方正仿宋_GBK" w:cs="Times New Roman"/>
          <w:color w:val="auto"/>
          <w:spacing w:val="6"/>
          <w:sz w:val="31"/>
          <w:szCs w:val="31"/>
          <w:highlight w:val="none"/>
        </w:rPr>
        <w:t>未参加医疗保险的行政单位的公费医疗经费，</w:t>
      </w:r>
      <w:r>
        <w:rPr>
          <w:rFonts w:hint="default" w:ascii="Times New Roman" w:hAnsi="Times New Roman" w:eastAsia="方正仿宋_GBK" w:cs="Times New Roman"/>
          <w:color w:val="auto"/>
          <w:spacing w:val="5"/>
          <w:sz w:val="31"/>
          <w:szCs w:val="31"/>
          <w:highlight w:val="none"/>
        </w:rPr>
        <w:t>按国家规定享受离</w:t>
      </w:r>
      <w:r>
        <w:rPr>
          <w:rFonts w:hint="default" w:ascii="Times New Roman" w:hAnsi="Times New Roman" w:eastAsia="方正仿宋_GBK" w:cs="Times New Roman"/>
          <w:color w:val="auto"/>
          <w:spacing w:val="5"/>
          <w:sz w:val="31"/>
          <w:szCs w:val="31"/>
          <w:highlight w:val="none"/>
          <w:lang w:eastAsia="zh-CN"/>
        </w:rPr>
        <w:t>休人员</w:t>
      </w:r>
      <w:r>
        <w:rPr>
          <w:rFonts w:hint="default" w:ascii="Times New Roman" w:hAnsi="Times New Roman" w:eastAsia="方正仿宋_GBK" w:cs="Times New Roman"/>
          <w:color w:val="auto"/>
          <w:spacing w:val="5"/>
          <w:sz w:val="31"/>
          <w:szCs w:val="31"/>
          <w:highlight w:val="none"/>
        </w:rPr>
        <w:t>、红军老战士待遇人员的医疗经费。</w:t>
      </w:r>
    </w:p>
    <w:p>
      <w:pPr>
        <w:keepNext w:val="0"/>
        <w:keepLines w:val="0"/>
        <w:pageBreakBefore w:val="0"/>
        <w:widowControl/>
        <w:kinsoku/>
        <w:wordWrap/>
        <w:overflowPunct/>
        <w:topLinePunct w:val="0"/>
        <w:autoSpaceDE w:val="0"/>
        <w:autoSpaceDN w:val="0"/>
        <w:bidi w:val="0"/>
        <w:adjustRightInd w:val="0"/>
        <w:snapToGrid w:val="0"/>
        <w:spacing w:line="600" w:lineRule="exact"/>
        <w:ind w:right="170" w:firstLine="626" w:firstLineChars="200"/>
        <w:jc w:val="both"/>
        <w:textAlignment w:val="baseline"/>
        <w:rPr>
          <w:rFonts w:hint="default" w:ascii="Times New Roman" w:hAnsi="Times New Roman" w:eastAsia="方正仿宋_GBK" w:cs="Times New Roman"/>
          <w:color w:val="auto"/>
          <w:spacing w:val="5"/>
          <w:sz w:val="31"/>
          <w:szCs w:val="31"/>
          <w:highlight w:val="none"/>
        </w:rPr>
      </w:pPr>
      <w:r>
        <w:rPr>
          <w:rFonts w:hint="default" w:ascii="Times New Roman" w:hAnsi="Times New Roman" w:eastAsia="方正仿宋_GBK" w:cs="Times New Roman"/>
          <w:b/>
          <w:bCs/>
          <w:color w:val="auto"/>
          <w:spacing w:val="1"/>
          <w:sz w:val="31"/>
          <w:szCs w:val="31"/>
          <w:highlight w:val="none"/>
          <w:lang w:eastAsia="zh-CN"/>
        </w:rPr>
        <w:t>九</w:t>
      </w:r>
      <w:r>
        <w:rPr>
          <w:rFonts w:hint="default" w:ascii="Times New Roman" w:hAnsi="Times New Roman" w:eastAsia="方正仿宋_GBK" w:cs="Times New Roman"/>
          <w:b/>
          <w:bCs/>
          <w:color w:val="auto"/>
          <w:spacing w:val="1"/>
          <w:sz w:val="31"/>
          <w:szCs w:val="31"/>
          <w:highlight w:val="none"/>
        </w:rPr>
        <w:t>、卫生健康（类）行政事业单位医疗（款）公务员医疗补</w:t>
      </w:r>
      <w:r>
        <w:rPr>
          <w:rFonts w:hint="default" w:ascii="Times New Roman" w:hAnsi="Times New Roman" w:eastAsia="方正仿宋_GBK" w:cs="Times New Roman"/>
          <w:b/>
          <w:bCs/>
          <w:color w:val="auto"/>
          <w:spacing w:val="5"/>
          <w:sz w:val="31"/>
          <w:szCs w:val="31"/>
          <w:highlight w:val="none"/>
        </w:rPr>
        <w:t>助（项</w:t>
      </w:r>
      <w:r>
        <w:rPr>
          <w:rFonts w:hint="default" w:ascii="Times New Roman" w:hAnsi="Times New Roman" w:eastAsia="方正仿宋_GBK" w:cs="Times New Roman"/>
          <w:b/>
          <w:bCs/>
          <w:color w:val="auto"/>
          <w:spacing w:val="33"/>
          <w:sz w:val="31"/>
          <w:szCs w:val="31"/>
          <w:highlight w:val="none"/>
        </w:rPr>
        <w:t>）：</w:t>
      </w:r>
      <w:r>
        <w:rPr>
          <w:rFonts w:hint="default" w:ascii="Times New Roman" w:hAnsi="Times New Roman" w:eastAsia="方正仿宋_GBK" w:cs="Times New Roman"/>
          <w:color w:val="auto"/>
          <w:spacing w:val="5"/>
          <w:sz w:val="31"/>
          <w:szCs w:val="31"/>
          <w:highlight w:val="none"/>
        </w:rPr>
        <w:t>反映财政部门安排的公务员医疗补助经费。</w:t>
      </w:r>
    </w:p>
    <w:p>
      <w:pPr>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1"/>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1"/>
          <w:sz w:val="31"/>
          <w:szCs w:val="31"/>
          <w:highlight w:val="none"/>
          <w:lang w:eastAsia="zh-CN"/>
        </w:rPr>
        <w:t>十</w:t>
      </w:r>
      <w:r>
        <w:rPr>
          <w:rFonts w:hint="default" w:ascii="Times New Roman" w:hAnsi="Times New Roman" w:eastAsia="方正仿宋_GBK" w:cs="Times New Roman"/>
          <w:b/>
          <w:bCs/>
          <w:color w:val="auto"/>
          <w:spacing w:val="1"/>
          <w:sz w:val="31"/>
          <w:szCs w:val="31"/>
          <w:highlight w:val="none"/>
        </w:rPr>
        <w:t>、卫生健康（类）行政事业单位医疗（款）其他行政事业</w:t>
      </w:r>
      <w:r>
        <w:rPr>
          <w:rFonts w:hint="default" w:ascii="Times New Roman" w:hAnsi="Times New Roman" w:eastAsia="方正仿宋_GBK" w:cs="Times New Roman"/>
          <w:b/>
          <w:bCs/>
          <w:color w:val="auto"/>
          <w:spacing w:val="4"/>
          <w:sz w:val="31"/>
          <w:szCs w:val="31"/>
          <w:highlight w:val="none"/>
        </w:rPr>
        <w:t>单位医疗支出（项</w:t>
      </w:r>
      <w:r>
        <w:rPr>
          <w:rFonts w:hint="default" w:ascii="Times New Roman" w:hAnsi="Times New Roman" w:eastAsia="方正仿宋_GBK" w:cs="Times New Roman"/>
          <w:b/>
          <w:bCs/>
          <w:color w:val="auto"/>
          <w:spacing w:val="-50"/>
          <w:sz w:val="31"/>
          <w:szCs w:val="31"/>
          <w:highlight w:val="none"/>
        </w:rPr>
        <w:t>）：</w:t>
      </w:r>
      <w:r>
        <w:rPr>
          <w:rFonts w:hint="default" w:ascii="Times New Roman" w:hAnsi="Times New Roman" w:eastAsia="方正仿宋_GBK" w:cs="Times New Roman"/>
          <w:color w:val="auto"/>
          <w:spacing w:val="4"/>
          <w:sz w:val="31"/>
          <w:szCs w:val="31"/>
          <w:highlight w:val="none"/>
        </w:rPr>
        <w:t>反映国家综合性消防救援队伍在医疗经费之外保障的医疗费支出。</w:t>
      </w:r>
    </w:p>
    <w:p>
      <w:pPr>
        <w:keepNext w:val="0"/>
        <w:keepLines w:val="0"/>
        <w:pageBreakBefore w:val="0"/>
        <w:widowControl/>
        <w:tabs>
          <w:tab w:val="left" w:pos="311"/>
          <w:tab w:val="center" w:pos="4511"/>
        </w:tabs>
        <w:kinsoku/>
        <w:wordWrap/>
        <w:overflowPunct/>
        <w:topLinePunct w:val="0"/>
        <w:autoSpaceDE w:val="0"/>
        <w:autoSpaceDN w:val="0"/>
        <w:bidi w:val="0"/>
        <w:adjustRightInd w:val="0"/>
        <w:snapToGrid w:val="0"/>
        <w:spacing w:line="600" w:lineRule="exact"/>
        <w:ind w:right="0"/>
        <w:jc w:val="left"/>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4"/>
          <w:sz w:val="31"/>
          <w:szCs w:val="31"/>
          <w:highlight w:val="none"/>
          <w:lang w:eastAsia="zh-CN"/>
        </w:rPr>
        <w:tab/>
      </w:r>
      <w:r>
        <w:rPr>
          <w:rFonts w:hint="default" w:ascii="Times New Roman" w:hAnsi="Times New Roman" w:eastAsia="方正仿宋_GBK" w:cs="Times New Roman"/>
          <w:b/>
          <w:bCs/>
          <w:color w:val="auto"/>
          <w:spacing w:val="-4"/>
          <w:sz w:val="31"/>
          <w:szCs w:val="31"/>
          <w:highlight w:val="none"/>
          <w:lang w:val="en-US" w:eastAsia="zh-CN"/>
        </w:rPr>
        <w:t xml:space="preserve">    </w:t>
      </w:r>
      <w:r>
        <w:rPr>
          <w:rFonts w:hint="default" w:ascii="Times New Roman" w:hAnsi="Times New Roman" w:eastAsia="方正仿宋_GBK" w:cs="Times New Roman"/>
          <w:b/>
          <w:bCs/>
          <w:color w:val="auto"/>
          <w:spacing w:val="-4"/>
          <w:sz w:val="31"/>
          <w:szCs w:val="31"/>
          <w:highlight w:val="none"/>
          <w:lang w:eastAsia="zh-CN"/>
        </w:rPr>
        <w:tab/>
      </w:r>
      <w:r>
        <w:rPr>
          <w:rFonts w:hint="default" w:ascii="Times New Roman" w:hAnsi="Times New Roman" w:eastAsia="方正仿宋_GBK" w:cs="Times New Roman"/>
          <w:b/>
          <w:bCs/>
          <w:color w:val="auto"/>
          <w:spacing w:val="-4"/>
          <w:sz w:val="31"/>
          <w:szCs w:val="31"/>
          <w:highlight w:val="none"/>
        </w:rPr>
        <w:t>十</w:t>
      </w:r>
      <w:r>
        <w:rPr>
          <w:rFonts w:hint="default" w:ascii="Times New Roman" w:hAnsi="Times New Roman" w:eastAsia="方正仿宋_GBK" w:cs="Times New Roman"/>
          <w:b/>
          <w:bCs/>
          <w:color w:val="auto"/>
          <w:spacing w:val="-4"/>
          <w:sz w:val="31"/>
          <w:szCs w:val="31"/>
          <w:highlight w:val="none"/>
          <w:lang w:eastAsia="zh-CN"/>
        </w:rPr>
        <w:t>一</w:t>
      </w:r>
      <w:r>
        <w:rPr>
          <w:rFonts w:hint="default" w:ascii="Times New Roman" w:hAnsi="Times New Roman" w:eastAsia="方正仿宋_GBK" w:cs="Times New Roman"/>
          <w:b/>
          <w:bCs/>
          <w:color w:val="auto"/>
          <w:spacing w:val="-4"/>
          <w:sz w:val="31"/>
          <w:szCs w:val="31"/>
          <w:highlight w:val="none"/>
        </w:rPr>
        <w:t>、住房保障（类）住房改革支出（款）住房公积金（项</w:t>
      </w:r>
      <w:r>
        <w:rPr>
          <w:rFonts w:hint="default" w:ascii="Times New Roman" w:hAnsi="Times New Roman" w:eastAsia="方正仿宋_GBK" w:cs="Times New Roman"/>
          <w:b/>
          <w:bCs/>
          <w:color w:val="auto"/>
          <w:spacing w:val="-48"/>
          <w:sz w:val="31"/>
          <w:szCs w:val="31"/>
          <w:highlight w:val="none"/>
        </w:rPr>
        <w:t>）</w:t>
      </w:r>
      <w:r>
        <w:rPr>
          <w:rFonts w:hint="default" w:ascii="Times New Roman" w:hAnsi="Times New Roman" w:eastAsia="方正仿宋_GBK" w:cs="Times New Roman"/>
          <w:color w:val="auto"/>
          <w:spacing w:val="5"/>
          <w:sz w:val="31"/>
          <w:szCs w:val="31"/>
          <w:highlight w:val="none"/>
        </w:rPr>
        <w:t>反映行政事业单位按人力资源和社会保障部、财政部规定的基本</w:t>
      </w:r>
      <w:r>
        <w:rPr>
          <w:rFonts w:hint="default" w:ascii="Times New Roman" w:hAnsi="Times New Roman" w:eastAsia="方正仿宋_GBK" w:cs="Times New Roman"/>
          <w:color w:val="auto"/>
          <w:spacing w:val="7"/>
          <w:sz w:val="31"/>
          <w:szCs w:val="31"/>
          <w:highlight w:val="none"/>
        </w:rPr>
        <w:t>工资和津贴补贴以及规定比例为职工缴纳的住房公积金。</w:t>
      </w:r>
    </w:p>
    <w:p>
      <w:pPr>
        <w:keepNext w:val="0"/>
        <w:keepLines w:val="0"/>
        <w:pageBreakBefore w:val="0"/>
        <w:widowControl/>
        <w:kinsoku/>
        <w:wordWrap/>
        <w:overflowPunct/>
        <w:topLinePunct w:val="0"/>
        <w:autoSpaceDE w:val="0"/>
        <w:autoSpaceDN w:val="0"/>
        <w:bidi w:val="0"/>
        <w:adjustRightInd w:val="0"/>
        <w:snapToGrid w:val="0"/>
        <w:spacing w:line="600" w:lineRule="exact"/>
        <w:ind w:left="0" w:right="0"/>
        <w:jc w:val="right"/>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24"/>
          <w:sz w:val="31"/>
          <w:szCs w:val="31"/>
          <w:highlight w:val="none"/>
        </w:rPr>
        <w:t>十</w:t>
      </w:r>
      <w:r>
        <w:rPr>
          <w:rFonts w:hint="default" w:ascii="Times New Roman" w:hAnsi="Times New Roman" w:eastAsia="方正仿宋_GBK" w:cs="Times New Roman"/>
          <w:b/>
          <w:bCs/>
          <w:color w:val="auto"/>
          <w:spacing w:val="-24"/>
          <w:sz w:val="31"/>
          <w:szCs w:val="31"/>
          <w:highlight w:val="none"/>
          <w:lang w:eastAsia="zh-CN"/>
        </w:rPr>
        <w:t>二</w:t>
      </w:r>
      <w:r>
        <w:rPr>
          <w:rFonts w:hint="default" w:ascii="Times New Roman" w:hAnsi="Times New Roman" w:eastAsia="方正仿宋_GBK" w:cs="Times New Roman"/>
          <w:b/>
          <w:bCs/>
          <w:color w:val="auto"/>
          <w:spacing w:val="-24"/>
          <w:sz w:val="31"/>
          <w:szCs w:val="31"/>
          <w:highlight w:val="none"/>
        </w:rPr>
        <w:t>、住房保障支出（类）住房改革支出（款）提租补贴（项</w:t>
      </w:r>
      <w:r>
        <w:rPr>
          <w:rFonts w:hint="default" w:ascii="Times New Roman" w:hAnsi="Times New Roman" w:eastAsia="方正仿宋_GBK" w:cs="Times New Roman"/>
          <w:b/>
          <w:bCs/>
          <w:color w:val="auto"/>
          <w:spacing w:val="-87"/>
          <w:sz w:val="31"/>
          <w:szCs w:val="31"/>
          <w:highlight w:val="none"/>
        </w:rPr>
        <w:t>）：</w:t>
      </w:r>
    </w:p>
    <w:p>
      <w:pPr>
        <w:keepNext w:val="0"/>
        <w:keepLines w:val="0"/>
        <w:pageBreakBefore w:val="0"/>
        <w:widowControl/>
        <w:kinsoku/>
        <w:wordWrap/>
        <w:overflowPunct/>
        <w:topLinePunct w:val="0"/>
        <w:autoSpaceDE w:val="0"/>
        <w:autoSpaceDN w:val="0"/>
        <w:bidi w:val="0"/>
        <w:adjustRightInd w:val="0"/>
        <w:snapToGrid w:val="0"/>
        <w:spacing w:line="600" w:lineRule="exact"/>
        <w:ind w:left="0" w:right="0" w:hanging="22"/>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color w:val="auto"/>
          <w:spacing w:val="5"/>
          <w:sz w:val="31"/>
          <w:szCs w:val="31"/>
          <w:highlight w:val="none"/>
        </w:rPr>
        <w:t>反映按房改政策规定的标准，行政事业单位向职工（含离</w:t>
      </w:r>
      <w:r>
        <w:rPr>
          <w:rFonts w:hint="default" w:ascii="Times New Roman" w:hAnsi="Times New Roman" w:eastAsia="方正仿宋_GBK" w:cs="Times New Roman"/>
          <w:color w:val="auto"/>
          <w:spacing w:val="4"/>
          <w:sz w:val="31"/>
          <w:szCs w:val="31"/>
          <w:highlight w:val="none"/>
        </w:rPr>
        <w:t>退休人</w:t>
      </w:r>
      <w:r>
        <w:rPr>
          <w:rFonts w:hint="default" w:ascii="Times New Roman" w:hAnsi="Times New Roman" w:eastAsia="方正仿宋_GBK" w:cs="Times New Roman"/>
          <w:color w:val="auto"/>
          <w:spacing w:val="2"/>
          <w:sz w:val="31"/>
          <w:szCs w:val="31"/>
          <w:highlight w:val="none"/>
        </w:rPr>
        <w:t>员）发放的租金补贴。</w:t>
      </w:r>
    </w:p>
    <w:p>
      <w:pPr>
        <w:keepNext w:val="0"/>
        <w:keepLines w:val="0"/>
        <w:pageBreakBefore w:val="0"/>
        <w:widowControl/>
        <w:kinsoku/>
        <w:wordWrap/>
        <w:overflowPunct/>
        <w:topLinePunct w:val="0"/>
        <w:autoSpaceDE w:val="0"/>
        <w:autoSpaceDN w:val="0"/>
        <w:bidi w:val="0"/>
        <w:adjustRightInd w:val="0"/>
        <w:snapToGrid w:val="0"/>
        <w:spacing w:line="600" w:lineRule="exact"/>
        <w:ind w:left="0" w:right="0"/>
        <w:jc w:val="right"/>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4"/>
          <w:sz w:val="31"/>
          <w:szCs w:val="31"/>
          <w:highlight w:val="none"/>
        </w:rPr>
        <w:t>十</w:t>
      </w:r>
      <w:r>
        <w:rPr>
          <w:rFonts w:hint="default" w:ascii="Times New Roman" w:hAnsi="Times New Roman" w:eastAsia="方正仿宋_GBK" w:cs="Times New Roman"/>
          <w:b/>
          <w:bCs/>
          <w:color w:val="auto"/>
          <w:spacing w:val="-4"/>
          <w:sz w:val="31"/>
          <w:szCs w:val="31"/>
          <w:highlight w:val="none"/>
          <w:lang w:eastAsia="zh-CN"/>
        </w:rPr>
        <w:t>三</w:t>
      </w:r>
      <w:r>
        <w:rPr>
          <w:rFonts w:hint="default" w:ascii="Times New Roman" w:hAnsi="Times New Roman" w:eastAsia="方正仿宋_GBK" w:cs="Times New Roman"/>
          <w:b/>
          <w:bCs/>
          <w:color w:val="auto"/>
          <w:spacing w:val="-4"/>
          <w:sz w:val="31"/>
          <w:szCs w:val="31"/>
          <w:highlight w:val="none"/>
        </w:rPr>
        <w:t>、住房保障（类）住房改革支出（款）购房补贴（项</w:t>
      </w:r>
      <w:r>
        <w:rPr>
          <w:rFonts w:hint="default" w:ascii="Times New Roman" w:hAnsi="Times New Roman" w:eastAsia="方正仿宋_GBK" w:cs="Times New Roman"/>
          <w:b/>
          <w:bCs/>
          <w:color w:val="auto"/>
          <w:spacing w:val="-48"/>
          <w:sz w:val="31"/>
          <w:szCs w:val="31"/>
          <w:highlight w:val="none"/>
        </w:rPr>
        <w:t>）：</w:t>
      </w:r>
    </w:p>
    <w:p>
      <w:pPr>
        <w:keepNext w:val="0"/>
        <w:keepLines w:val="0"/>
        <w:pageBreakBefore w:val="0"/>
        <w:widowControl/>
        <w:kinsoku/>
        <w:wordWrap/>
        <w:overflowPunct/>
        <w:topLinePunct w:val="0"/>
        <w:autoSpaceDE w:val="0"/>
        <w:autoSpaceDN w:val="0"/>
        <w:bidi w:val="0"/>
        <w:adjustRightInd w:val="0"/>
        <w:snapToGrid w:val="0"/>
        <w:spacing w:line="600" w:lineRule="exact"/>
        <w:ind w:left="0" w:right="0" w:firstLine="1"/>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color w:val="auto"/>
          <w:spacing w:val="5"/>
          <w:sz w:val="31"/>
          <w:szCs w:val="31"/>
          <w:highlight w:val="none"/>
        </w:rPr>
        <w:t>反映按房改政策规定，行政事业单位向符合条件职工（含</w:t>
      </w:r>
      <w:r>
        <w:rPr>
          <w:rFonts w:hint="default" w:ascii="Times New Roman" w:hAnsi="Times New Roman" w:eastAsia="方正仿宋_GBK" w:cs="Times New Roman"/>
          <w:color w:val="auto"/>
          <w:spacing w:val="4"/>
          <w:sz w:val="31"/>
          <w:szCs w:val="31"/>
          <w:highlight w:val="none"/>
        </w:rPr>
        <w:t>离退休</w:t>
      </w:r>
      <w:r>
        <w:rPr>
          <w:rFonts w:hint="default" w:ascii="Times New Roman" w:hAnsi="Times New Roman" w:eastAsia="方正仿宋_GBK" w:cs="Times New Roman"/>
          <w:color w:val="auto"/>
          <w:spacing w:val="7"/>
          <w:sz w:val="31"/>
          <w:szCs w:val="31"/>
          <w:highlight w:val="none"/>
        </w:rPr>
        <w:t>人员）发放的用于购买住房的补贴。</w:t>
      </w:r>
    </w:p>
    <w:p>
      <w:pPr>
        <w:keepNext w:val="0"/>
        <w:keepLines w:val="0"/>
        <w:pageBreakBefore w:val="0"/>
        <w:widowControl/>
        <w:kinsoku/>
        <w:wordWrap/>
        <w:overflowPunct/>
        <w:topLinePunct w:val="0"/>
        <w:autoSpaceDE w:val="0"/>
        <w:autoSpaceDN w:val="0"/>
        <w:bidi w:val="0"/>
        <w:adjustRightInd w:val="0"/>
        <w:snapToGrid w:val="0"/>
        <w:spacing w:before="5" w:line="600" w:lineRule="exact"/>
        <w:ind w:left="1" w:right="154" w:firstLine="655"/>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1"/>
          <w:sz w:val="31"/>
          <w:szCs w:val="31"/>
          <w:highlight w:val="none"/>
        </w:rPr>
        <w:t>十</w:t>
      </w:r>
      <w:r>
        <w:rPr>
          <w:rFonts w:hint="default" w:ascii="Times New Roman" w:hAnsi="Times New Roman" w:eastAsia="方正仿宋_GBK" w:cs="Times New Roman"/>
          <w:b/>
          <w:bCs/>
          <w:color w:val="auto"/>
          <w:spacing w:val="1"/>
          <w:sz w:val="31"/>
          <w:szCs w:val="31"/>
          <w:highlight w:val="none"/>
          <w:lang w:eastAsia="zh-CN"/>
        </w:rPr>
        <w:t>四</w:t>
      </w:r>
      <w:r>
        <w:rPr>
          <w:rFonts w:hint="default" w:ascii="Times New Roman" w:hAnsi="Times New Roman" w:eastAsia="方正仿宋_GBK" w:cs="Times New Roman"/>
          <w:b/>
          <w:bCs/>
          <w:color w:val="auto"/>
          <w:spacing w:val="1"/>
          <w:sz w:val="31"/>
          <w:szCs w:val="31"/>
          <w:highlight w:val="none"/>
        </w:rPr>
        <w:t>、粮油物资储备支出（类）重要商品储备（款）</w:t>
      </w:r>
      <w:r>
        <w:rPr>
          <w:rFonts w:hint="default" w:ascii="Times New Roman" w:hAnsi="Times New Roman" w:eastAsia="方正仿宋_GBK" w:cs="Times New Roman"/>
          <w:b/>
          <w:bCs/>
          <w:color w:val="auto"/>
          <w:sz w:val="31"/>
          <w:szCs w:val="31"/>
          <w:highlight w:val="none"/>
        </w:rPr>
        <w:t>应急物</w:t>
      </w:r>
      <w:r>
        <w:rPr>
          <w:rFonts w:hint="default" w:ascii="Times New Roman" w:hAnsi="Times New Roman" w:eastAsia="方正仿宋_GBK" w:cs="Times New Roman"/>
          <w:b/>
          <w:bCs/>
          <w:color w:val="auto"/>
          <w:spacing w:val="5"/>
          <w:sz w:val="31"/>
          <w:szCs w:val="31"/>
          <w:highlight w:val="none"/>
        </w:rPr>
        <w:t>资储备（项</w:t>
      </w:r>
      <w:r>
        <w:rPr>
          <w:rFonts w:hint="default" w:ascii="Times New Roman" w:hAnsi="Times New Roman" w:eastAsia="方正仿宋_GBK" w:cs="Times New Roman"/>
          <w:b/>
          <w:bCs/>
          <w:color w:val="auto"/>
          <w:spacing w:val="-64"/>
          <w:sz w:val="31"/>
          <w:szCs w:val="31"/>
          <w:highlight w:val="none"/>
        </w:rPr>
        <w:t>）：</w:t>
      </w:r>
      <w:r>
        <w:rPr>
          <w:rFonts w:hint="default" w:ascii="Times New Roman" w:hAnsi="Times New Roman" w:eastAsia="方正仿宋_GBK" w:cs="Times New Roman"/>
          <w:color w:val="auto"/>
          <w:spacing w:val="5"/>
          <w:sz w:val="31"/>
          <w:szCs w:val="31"/>
          <w:highlight w:val="none"/>
        </w:rPr>
        <w:t>反映用于救灾物资、防汛抗旱物资等应急物资储</w:t>
      </w:r>
      <w:r>
        <w:rPr>
          <w:rFonts w:hint="default" w:ascii="Times New Roman" w:hAnsi="Times New Roman" w:eastAsia="方正仿宋_GBK" w:cs="Times New Roman"/>
          <w:color w:val="auto"/>
          <w:spacing w:val="14"/>
          <w:sz w:val="31"/>
          <w:szCs w:val="31"/>
          <w:highlight w:val="none"/>
        </w:rPr>
        <w:t>备的支出。国家综合性消防救援队伍主要用于补充执</w:t>
      </w:r>
      <w:r>
        <w:rPr>
          <w:rFonts w:hint="default" w:ascii="Times New Roman" w:hAnsi="Times New Roman" w:eastAsia="方正仿宋_GBK" w:cs="Times New Roman"/>
          <w:color w:val="auto"/>
          <w:spacing w:val="13"/>
          <w:sz w:val="31"/>
          <w:szCs w:val="31"/>
          <w:highlight w:val="none"/>
        </w:rPr>
        <w:t>行灭火救</w:t>
      </w:r>
      <w:r>
        <w:rPr>
          <w:rFonts w:hint="default" w:ascii="Times New Roman" w:hAnsi="Times New Roman" w:eastAsia="方正仿宋_GBK" w:cs="Times New Roman"/>
          <w:color w:val="auto"/>
          <w:spacing w:val="8"/>
          <w:sz w:val="31"/>
          <w:szCs w:val="31"/>
          <w:highlight w:val="none"/>
        </w:rPr>
        <w:t>援、抗洪抢险、地震救援等任务的物资储备支出。</w:t>
      </w:r>
    </w:p>
    <w:p>
      <w:pPr>
        <w:keepNext w:val="0"/>
        <w:keepLines w:val="0"/>
        <w:pageBreakBefore w:val="0"/>
        <w:widowControl/>
        <w:kinsoku/>
        <w:wordWrap/>
        <w:overflowPunct/>
        <w:topLinePunct w:val="0"/>
        <w:autoSpaceDE w:val="0"/>
        <w:autoSpaceDN w:val="0"/>
        <w:bidi w:val="0"/>
        <w:adjustRightInd w:val="0"/>
        <w:snapToGrid w:val="0"/>
        <w:spacing w:before="3" w:line="600" w:lineRule="exact"/>
        <w:ind w:left="1" w:firstLine="655"/>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7"/>
          <w:sz w:val="31"/>
          <w:szCs w:val="31"/>
          <w:highlight w:val="none"/>
        </w:rPr>
        <w:t>十</w:t>
      </w:r>
      <w:r>
        <w:rPr>
          <w:rFonts w:hint="default" w:ascii="Times New Roman" w:hAnsi="Times New Roman" w:eastAsia="方正仿宋_GBK" w:cs="Times New Roman"/>
          <w:b/>
          <w:bCs/>
          <w:color w:val="auto"/>
          <w:spacing w:val="7"/>
          <w:sz w:val="31"/>
          <w:szCs w:val="31"/>
          <w:highlight w:val="none"/>
          <w:lang w:eastAsia="zh-CN"/>
        </w:rPr>
        <w:t>五</w:t>
      </w:r>
      <w:r>
        <w:rPr>
          <w:rFonts w:hint="default" w:ascii="Times New Roman" w:hAnsi="Times New Roman" w:eastAsia="方正仿宋_GBK" w:cs="Times New Roman"/>
          <w:b/>
          <w:bCs/>
          <w:color w:val="auto"/>
          <w:spacing w:val="7"/>
          <w:sz w:val="31"/>
          <w:szCs w:val="31"/>
          <w:highlight w:val="none"/>
        </w:rPr>
        <w:t>、灾害防治及应急管理支出（类）消防救援事务</w:t>
      </w:r>
      <w:r>
        <w:rPr>
          <w:rFonts w:hint="default" w:ascii="Times New Roman" w:hAnsi="Times New Roman" w:eastAsia="方正仿宋_GBK" w:cs="Times New Roman"/>
          <w:b/>
          <w:bCs/>
          <w:color w:val="auto"/>
          <w:spacing w:val="6"/>
          <w:sz w:val="31"/>
          <w:szCs w:val="31"/>
          <w:highlight w:val="none"/>
        </w:rPr>
        <w:t>（款）</w:t>
      </w:r>
      <w:r>
        <w:rPr>
          <w:rFonts w:hint="default" w:ascii="Times New Roman" w:hAnsi="Times New Roman" w:eastAsia="方正仿宋_GBK" w:cs="Times New Roman"/>
          <w:b/>
          <w:bCs/>
          <w:color w:val="auto"/>
          <w:spacing w:val="5"/>
          <w:sz w:val="31"/>
          <w:szCs w:val="31"/>
          <w:highlight w:val="none"/>
        </w:rPr>
        <w:t>行政运行（项</w:t>
      </w:r>
      <w:r>
        <w:rPr>
          <w:rFonts w:hint="default" w:ascii="Times New Roman" w:hAnsi="Times New Roman" w:eastAsia="方正仿宋_GBK" w:cs="Times New Roman"/>
          <w:b/>
          <w:bCs/>
          <w:color w:val="auto"/>
          <w:spacing w:val="-63"/>
          <w:sz w:val="31"/>
          <w:szCs w:val="31"/>
          <w:highlight w:val="none"/>
        </w:rPr>
        <w:t>）：</w:t>
      </w:r>
      <w:r>
        <w:rPr>
          <w:rFonts w:hint="default" w:ascii="Times New Roman" w:hAnsi="Times New Roman" w:eastAsia="方正仿宋_GBK" w:cs="Times New Roman"/>
          <w:color w:val="auto"/>
          <w:spacing w:val="5"/>
          <w:sz w:val="31"/>
          <w:szCs w:val="31"/>
          <w:highlight w:val="none"/>
        </w:rPr>
        <w:t>反映行政单位的基本支出。国家综合性消防救</w:t>
      </w:r>
      <w:r>
        <w:rPr>
          <w:rFonts w:hint="default" w:ascii="Times New Roman" w:hAnsi="Times New Roman" w:eastAsia="方正仿宋_GBK" w:cs="Times New Roman"/>
          <w:color w:val="auto"/>
          <w:spacing w:val="9"/>
          <w:sz w:val="31"/>
          <w:szCs w:val="31"/>
          <w:highlight w:val="none"/>
        </w:rPr>
        <w:t>援队伍用于保障机构正常运行、开展日常工作</w:t>
      </w:r>
      <w:r>
        <w:rPr>
          <w:rFonts w:hint="default" w:ascii="Times New Roman" w:hAnsi="Times New Roman" w:eastAsia="方正仿宋_GBK" w:cs="Times New Roman"/>
          <w:color w:val="auto"/>
          <w:spacing w:val="8"/>
          <w:sz w:val="31"/>
          <w:szCs w:val="31"/>
          <w:highlight w:val="none"/>
        </w:rPr>
        <w:t>的基本支出。</w:t>
      </w:r>
    </w:p>
    <w:p>
      <w:pPr>
        <w:keepNext w:val="0"/>
        <w:keepLines w:val="0"/>
        <w:pageBreakBefore w:val="0"/>
        <w:widowControl/>
        <w:kinsoku/>
        <w:wordWrap/>
        <w:overflowPunct/>
        <w:topLinePunct w:val="0"/>
        <w:autoSpaceDE w:val="0"/>
        <w:autoSpaceDN w:val="0"/>
        <w:bidi w:val="0"/>
        <w:adjustRightInd w:val="0"/>
        <w:snapToGrid w:val="0"/>
        <w:spacing w:before="3" w:line="600" w:lineRule="exact"/>
        <w:ind w:left="5" w:firstLine="651"/>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7"/>
          <w:sz w:val="31"/>
          <w:szCs w:val="31"/>
          <w:highlight w:val="none"/>
        </w:rPr>
        <w:t>十</w:t>
      </w:r>
      <w:r>
        <w:rPr>
          <w:rFonts w:hint="default" w:ascii="Times New Roman" w:hAnsi="Times New Roman" w:eastAsia="方正仿宋_GBK" w:cs="Times New Roman"/>
          <w:b/>
          <w:bCs/>
          <w:color w:val="auto"/>
          <w:spacing w:val="7"/>
          <w:sz w:val="31"/>
          <w:szCs w:val="31"/>
          <w:highlight w:val="none"/>
          <w:lang w:eastAsia="zh-CN"/>
        </w:rPr>
        <w:t>六</w:t>
      </w:r>
      <w:r>
        <w:rPr>
          <w:rFonts w:hint="default" w:ascii="Times New Roman" w:hAnsi="Times New Roman" w:eastAsia="方正仿宋_GBK" w:cs="Times New Roman"/>
          <w:b/>
          <w:bCs/>
          <w:color w:val="auto"/>
          <w:spacing w:val="7"/>
          <w:sz w:val="31"/>
          <w:szCs w:val="31"/>
          <w:highlight w:val="none"/>
        </w:rPr>
        <w:t>、灾害防治及应急管理支出（类）消防救援事务</w:t>
      </w:r>
      <w:r>
        <w:rPr>
          <w:rFonts w:hint="default" w:ascii="Times New Roman" w:hAnsi="Times New Roman" w:eastAsia="方正仿宋_GBK" w:cs="Times New Roman"/>
          <w:b/>
          <w:bCs/>
          <w:color w:val="auto"/>
          <w:spacing w:val="6"/>
          <w:sz w:val="31"/>
          <w:szCs w:val="31"/>
          <w:highlight w:val="none"/>
        </w:rPr>
        <w:t>（款）</w:t>
      </w:r>
      <w:r>
        <w:rPr>
          <w:rFonts w:hint="default" w:ascii="Times New Roman" w:hAnsi="Times New Roman" w:eastAsia="方正仿宋_GBK" w:cs="Times New Roman"/>
          <w:b/>
          <w:bCs/>
          <w:color w:val="auto"/>
          <w:spacing w:val="5"/>
          <w:sz w:val="31"/>
          <w:szCs w:val="31"/>
          <w:highlight w:val="none"/>
        </w:rPr>
        <w:t>消防应急救援（项</w:t>
      </w:r>
      <w:r>
        <w:rPr>
          <w:rFonts w:hint="default" w:ascii="Times New Roman" w:hAnsi="Times New Roman" w:eastAsia="方正仿宋_GBK" w:cs="Times New Roman"/>
          <w:b/>
          <w:bCs/>
          <w:color w:val="auto"/>
          <w:spacing w:val="38"/>
          <w:sz w:val="31"/>
          <w:szCs w:val="31"/>
          <w:highlight w:val="none"/>
        </w:rPr>
        <w:t>）：</w:t>
      </w:r>
      <w:r>
        <w:rPr>
          <w:rFonts w:hint="default" w:ascii="Times New Roman" w:hAnsi="Times New Roman" w:eastAsia="方正仿宋_GBK" w:cs="Times New Roman"/>
          <w:color w:val="auto"/>
          <w:spacing w:val="5"/>
          <w:sz w:val="31"/>
          <w:szCs w:val="31"/>
          <w:highlight w:val="none"/>
        </w:rPr>
        <w:t>反映国家综合性消防救援队</w:t>
      </w:r>
      <w:r>
        <w:rPr>
          <w:rFonts w:hint="default" w:ascii="Times New Roman" w:hAnsi="Times New Roman" w:eastAsia="方正仿宋_GBK" w:cs="Times New Roman"/>
          <w:color w:val="auto"/>
          <w:spacing w:val="4"/>
          <w:sz w:val="31"/>
          <w:szCs w:val="31"/>
          <w:highlight w:val="none"/>
        </w:rPr>
        <w:t>伍装备购置、</w:t>
      </w:r>
      <w:r>
        <w:rPr>
          <w:rFonts w:hint="default" w:ascii="Times New Roman" w:hAnsi="Times New Roman" w:eastAsia="方正仿宋_GBK" w:cs="Times New Roman"/>
          <w:color w:val="auto"/>
          <w:spacing w:val="7"/>
          <w:sz w:val="31"/>
          <w:szCs w:val="31"/>
          <w:highlight w:val="none"/>
        </w:rPr>
        <w:t>基础设施及运行维护等方面的支出。</w:t>
      </w:r>
    </w:p>
    <w:p>
      <w:pPr>
        <w:keepNext w:val="0"/>
        <w:keepLines w:val="0"/>
        <w:pageBreakBefore w:val="0"/>
        <w:widowControl/>
        <w:kinsoku/>
        <w:wordWrap/>
        <w:overflowPunct/>
        <w:topLinePunct w:val="0"/>
        <w:autoSpaceDE w:val="0"/>
        <w:autoSpaceDN w:val="0"/>
        <w:bidi w:val="0"/>
        <w:adjustRightInd/>
        <w:snapToGrid w:val="0"/>
        <w:spacing w:line="600" w:lineRule="exact"/>
        <w:ind w:left="0" w:right="0" w:firstLine="656"/>
        <w:textAlignment w:val="baseline"/>
        <w:rPr>
          <w:rFonts w:hint="default" w:ascii="Times New Roman" w:hAnsi="Times New Roman" w:cs="Times New Roman"/>
          <w:color w:val="auto"/>
          <w:highlight w:val="none"/>
        </w:rPr>
      </w:pPr>
      <w:r>
        <w:rPr>
          <w:rFonts w:hint="default" w:ascii="Times New Roman" w:hAnsi="Times New Roman" w:eastAsia="方正仿宋_GBK" w:cs="Times New Roman"/>
          <w:b/>
          <w:bCs/>
          <w:color w:val="auto"/>
          <w:spacing w:val="7"/>
          <w:sz w:val="31"/>
          <w:szCs w:val="31"/>
          <w:highlight w:val="none"/>
        </w:rPr>
        <w:t>十</w:t>
      </w:r>
      <w:r>
        <w:rPr>
          <w:rFonts w:hint="default" w:ascii="Times New Roman" w:hAnsi="Times New Roman" w:eastAsia="方正仿宋_GBK" w:cs="Times New Roman"/>
          <w:b/>
          <w:bCs/>
          <w:color w:val="auto"/>
          <w:spacing w:val="7"/>
          <w:sz w:val="31"/>
          <w:szCs w:val="31"/>
          <w:highlight w:val="none"/>
          <w:lang w:eastAsia="zh-CN"/>
        </w:rPr>
        <w:t>七</w:t>
      </w:r>
      <w:r>
        <w:rPr>
          <w:rFonts w:hint="default" w:ascii="Times New Roman" w:hAnsi="Times New Roman" w:eastAsia="方正仿宋_GBK" w:cs="Times New Roman"/>
          <w:b/>
          <w:bCs/>
          <w:color w:val="auto"/>
          <w:spacing w:val="7"/>
          <w:sz w:val="31"/>
          <w:szCs w:val="31"/>
          <w:highlight w:val="none"/>
        </w:rPr>
        <w:t>、灾害防治及应急管理支出（类）消防救援事务</w:t>
      </w:r>
      <w:r>
        <w:rPr>
          <w:rFonts w:hint="default" w:ascii="Times New Roman" w:hAnsi="Times New Roman" w:eastAsia="方正仿宋_GBK" w:cs="Times New Roman"/>
          <w:b/>
          <w:bCs/>
          <w:color w:val="auto"/>
          <w:spacing w:val="6"/>
          <w:sz w:val="31"/>
          <w:szCs w:val="31"/>
          <w:highlight w:val="none"/>
        </w:rPr>
        <w:t>（款）</w:t>
      </w:r>
      <w:r>
        <w:rPr>
          <w:rFonts w:hint="default" w:ascii="Times New Roman" w:hAnsi="Times New Roman" w:eastAsia="方正仿宋_GBK" w:cs="Times New Roman"/>
          <w:b/>
          <w:bCs/>
          <w:color w:val="auto"/>
          <w:spacing w:val="1"/>
          <w:sz w:val="31"/>
          <w:szCs w:val="31"/>
          <w:highlight w:val="none"/>
        </w:rPr>
        <w:t>其他消防救援事务支出（项</w:t>
      </w:r>
      <w:r>
        <w:rPr>
          <w:rFonts w:hint="default" w:ascii="Times New Roman" w:hAnsi="Times New Roman" w:eastAsia="方正仿宋_GBK" w:cs="Times New Roman"/>
          <w:b/>
          <w:bCs/>
          <w:color w:val="auto"/>
          <w:spacing w:val="-12"/>
          <w:sz w:val="31"/>
          <w:szCs w:val="31"/>
          <w:highlight w:val="none"/>
        </w:rPr>
        <w:t>）：</w:t>
      </w:r>
      <w:r>
        <w:rPr>
          <w:rFonts w:hint="default" w:ascii="Times New Roman" w:hAnsi="Times New Roman" w:eastAsia="方正仿宋_GBK" w:cs="Times New Roman"/>
          <w:color w:val="auto"/>
          <w:spacing w:val="1"/>
          <w:sz w:val="31"/>
          <w:szCs w:val="31"/>
          <w:highlight w:val="none"/>
        </w:rPr>
        <w:t>反映国家综合性消防救援队伍的</w:t>
      </w:r>
      <w:r>
        <w:rPr>
          <w:rFonts w:hint="default" w:ascii="Times New Roman" w:hAnsi="Times New Roman" w:eastAsia="方正仿宋_GBK" w:cs="Times New Roman"/>
          <w:color w:val="auto"/>
          <w:spacing w:val="2"/>
          <w:sz w:val="31"/>
          <w:szCs w:val="31"/>
          <w:highlight w:val="none"/>
        </w:rPr>
        <w:t>财政机动费支出。</w:t>
      </w:r>
    </w:p>
    <w:p>
      <w:pPr>
        <w:keepNext w:val="0"/>
        <w:keepLines w:val="0"/>
        <w:pageBreakBefore w:val="0"/>
        <w:widowControl/>
        <w:kinsoku/>
        <w:wordWrap/>
        <w:overflowPunct/>
        <w:topLinePunct w:val="0"/>
        <w:autoSpaceDE w:val="0"/>
        <w:autoSpaceDN w:val="0"/>
        <w:bidi w:val="0"/>
        <w:adjustRightInd/>
        <w:snapToGrid w:val="0"/>
        <w:spacing w:line="600" w:lineRule="exact"/>
        <w:ind w:left="0" w:right="0" w:firstLine="646"/>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3"/>
          <w:sz w:val="31"/>
          <w:szCs w:val="31"/>
          <w:highlight w:val="none"/>
        </w:rPr>
        <w:t>十</w:t>
      </w:r>
      <w:r>
        <w:rPr>
          <w:rFonts w:hint="default" w:ascii="Times New Roman" w:hAnsi="Times New Roman" w:eastAsia="方正仿宋_GBK" w:cs="Times New Roman"/>
          <w:b/>
          <w:bCs/>
          <w:color w:val="auto"/>
          <w:spacing w:val="3"/>
          <w:sz w:val="31"/>
          <w:szCs w:val="31"/>
          <w:highlight w:val="none"/>
          <w:lang w:eastAsia="zh-CN"/>
        </w:rPr>
        <w:t>八</w:t>
      </w:r>
      <w:r>
        <w:rPr>
          <w:rFonts w:hint="default" w:ascii="Times New Roman" w:hAnsi="Times New Roman" w:eastAsia="方正仿宋_GBK" w:cs="Times New Roman"/>
          <w:b/>
          <w:bCs/>
          <w:color w:val="auto"/>
          <w:spacing w:val="3"/>
          <w:sz w:val="31"/>
          <w:szCs w:val="31"/>
          <w:highlight w:val="none"/>
        </w:rPr>
        <w:t>、年末结转和结余：</w:t>
      </w:r>
      <w:r>
        <w:rPr>
          <w:rFonts w:hint="default" w:ascii="Times New Roman" w:hAnsi="Times New Roman" w:eastAsia="方正仿宋_GBK" w:cs="Times New Roman"/>
          <w:color w:val="auto"/>
          <w:spacing w:val="3"/>
          <w:sz w:val="31"/>
          <w:szCs w:val="31"/>
          <w:highlight w:val="none"/>
        </w:rPr>
        <w:t>指单位按有关规定结转</w:t>
      </w:r>
      <w:r>
        <w:rPr>
          <w:rFonts w:hint="default" w:ascii="Times New Roman" w:hAnsi="Times New Roman" w:eastAsia="方正仿宋_GBK" w:cs="Times New Roman"/>
          <w:color w:val="auto"/>
          <w:spacing w:val="2"/>
          <w:sz w:val="31"/>
          <w:szCs w:val="31"/>
          <w:highlight w:val="none"/>
        </w:rPr>
        <w:t>到下年度继</w:t>
      </w:r>
      <w:r>
        <w:rPr>
          <w:rFonts w:hint="default" w:ascii="Times New Roman" w:hAnsi="Times New Roman" w:eastAsia="方正仿宋_GBK" w:cs="Times New Roman"/>
          <w:color w:val="auto"/>
          <w:spacing w:val="6"/>
          <w:sz w:val="31"/>
          <w:szCs w:val="31"/>
          <w:highlight w:val="none"/>
        </w:rPr>
        <w:t>续使用的资金，或项目已完成等产生的结余资金。</w:t>
      </w:r>
    </w:p>
    <w:p>
      <w:pPr>
        <w:keepNext w:val="0"/>
        <w:keepLines w:val="0"/>
        <w:pageBreakBefore w:val="0"/>
        <w:widowControl/>
        <w:kinsoku/>
        <w:wordWrap/>
        <w:overflowPunct/>
        <w:topLinePunct w:val="0"/>
        <w:autoSpaceDE w:val="0"/>
        <w:autoSpaceDN w:val="0"/>
        <w:bidi w:val="0"/>
        <w:adjustRightInd w:val="0"/>
        <w:snapToGrid w:val="0"/>
        <w:spacing w:line="600" w:lineRule="exact"/>
        <w:ind w:left="6" w:right="76" w:firstLine="648"/>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3"/>
          <w:sz w:val="31"/>
          <w:szCs w:val="31"/>
          <w:highlight w:val="none"/>
        </w:rPr>
        <w:t>十</w:t>
      </w:r>
      <w:r>
        <w:rPr>
          <w:rFonts w:hint="default" w:ascii="Times New Roman" w:hAnsi="Times New Roman" w:eastAsia="方正仿宋_GBK" w:cs="Times New Roman"/>
          <w:b/>
          <w:bCs/>
          <w:color w:val="auto"/>
          <w:spacing w:val="3"/>
          <w:sz w:val="31"/>
          <w:szCs w:val="31"/>
          <w:highlight w:val="none"/>
          <w:lang w:eastAsia="zh-CN"/>
        </w:rPr>
        <w:t>九</w:t>
      </w:r>
      <w:r>
        <w:rPr>
          <w:rFonts w:hint="default" w:ascii="Times New Roman" w:hAnsi="Times New Roman" w:eastAsia="方正仿宋_GBK" w:cs="Times New Roman"/>
          <w:b/>
          <w:bCs/>
          <w:color w:val="auto"/>
          <w:spacing w:val="3"/>
          <w:sz w:val="31"/>
          <w:szCs w:val="31"/>
          <w:highlight w:val="none"/>
        </w:rPr>
        <w:t>、基本支出：</w:t>
      </w:r>
      <w:r>
        <w:rPr>
          <w:rFonts w:hint="default" w:ascii="Times New Roman" w:hAnsi="Times New Roman" w:eastAsia="方正仿宋_GBK" w:cs="Times New Roman"/>
          <w:color w:val="auto"/>
          <w:spacing w:val="3"/>
          <w:sz w:val="31"/>
          <w:szCs w:val="31"/>
          <w:highlight w:val="none"/>
        </w:rPr>
        <w:t>指为保障机构正常运转、完成日常工作任</w:t>
      </w:r>
      <w:r>
        <w:rPr>
          <w:rFonts w:hint="default" w:ascii="Times New Roman" w:hAnsi="Times New Roman" w:eastAsia="方正仿宋_GBK" w:cs="Times New Roman"/>
          <w:color w:val="auto"/>
          <w:spacing w:val="5"/>
          <w:sz w:val="31"/>
          <w:szCs w:val="31"/>
          <w:highlight w:val="none"/>
        </w:rPr>
        <w:t>务而发生的人员支出和公用支出。</w:t>
      </w:r>
    </w:p>
    <w:p>
      <w:pPr>
        <w:keepNext w:val="0"/>
        <w:keepLines w:val="0"/>
        <w:pageBreakBefore w:val="0"/>
        <w:widowControl/>
        <w:kinsoku/>
        <w:wordWrap/>
        <w:overflowPunct/>
        <w:topLinePunct w:val="0"/>
        <w:autoSpaceDE w:val="0"/>
        <w:autoSpaceDN w:val="0"/>
        <w:bidi w:val="0"/>
        <w:adjustRightInd w:val="0"/>
        <w:snapToGrid w:val="0"/>
        <w:spacing w:before="3" w:line="600" w:lineRule="exact"/>
        <w:ind w:left="7" w:right="78" w:firstLine="646"/>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3"/>
          <w:sz w:val="31"/>
          <w:szCs w:val="31"/>
          <w:highlight w:val="none"/>
          <w:lang w:eastAsia="zh-CN"/>
        </w:rPr>
        <w:t>二十</w:t>
      </w:r>
      <w:r>
        <w:rPr>
          <w:rFonts w:hint="default" w:ascii="Times New Roman" w:hAnsi="Times New Roman" w:eastAsia="方正仿宋_GBK" w:cs="Times New Roman"/>
          <w:b/>
          <w:bCs/>
          <w:color w:val="auto"/>
          <w:spacing w:val="3"/>
          <w:sz w:val="31"/>
          <w:szCs w:val="31"/>
          <w:highlight w:val="none"/>
        </w:rPr>
        <w:t>、项目支出：</w:t>
      </w:r>
      <w:r>
        <w:rPr>
          <w:rFonts w:hint="default" w:ascii="Times New Roman" w:hAnsi="Times New Roman" w:eastAsia="方正仿宋_GBK" w:cs="Times New Roman"/>
          <w:color w:val="auto"/>
          <w:spacing w:val="3"/>
          <w:sz w:val="31"/>
          <w:szCs w:val="31"/>
          <w:highlight w:val="none"/>
        </w:rPr>
        <w:t>指在基本支出之外为完成特定行政任务或</w:t>
      </w:r>
      <w:r>
        <w:rPr>
          <w:rFonts w:hint="default" w:ascii="Times New Roman" w:hAnsi="Times New Roman" w:eastAsia="方正仿宋_GBK" w:cs="Times New Roman"/>
          <w:color w:val="auto"/>
          <w:spacing w:val="5"/>
          <w:sz w:val="31"/>
          <w:szCs w:val="31"/>
          <w:highlight w:val="none"/>
        </w:rPr>
        <w:t>事业发展目标所发生的支出。</w:t>
      </w:r>
    </w:p>
    <w:p>
      <w:pPr>
        <w:keepNext w:val="0"/>
        <w:keepLines w:val="0"/>
        <w:pageBreakBefore w:val="0"/>
        <w:widowControl/>
        <w:kinsoku/>
        <w:wordWrap/>
        <w:overflowPunct/>
        <w:topLinePunct w:val="0"/>
        <w:autoSpaceDE w:val="0"/>
        <w:autoSpaceDN w:val="0"/>
        <w:bidi w:val="0"/>
        <w:adjustRightInd w:val="0"/>
        <w:snapToGrid w:val="0"/>
        <w:spacing w:before="7" w:line="600" w:lineRule="exact"/>
        <w:ind w:firstLine="658"/>
        <w:textAlignment w:val="baseline"/>
        <w:rPr>
          <w:rFonts w:hint="default" w:ascii="Times New Roman" w:hAnsi="Times New Roman" w:eastAsia="方正仿宋_GBK" w:cs="Times New Roman"/>
          <w:color w:val="auto"/>
          <w:spacing w:val="4"/>
          <w:sz w:val="31"/>
          <w:szCs w:val="31"/>
          <w:highlight w:val="none"/>
        </w:rPr>
      </w:pPr>
      <w:r>
        <w:rPr>
          <w:rFonts w:hint="default" w:ascii="Times New Roman" w:hAnsi="Times New Roman" w:eastAsia="方正仿宋_GBK" w:cs="Times New Roman"/>
          <w:b/>
          <w:bCs/>
          <w:color w:val="auto"/>
          <w:spacing w:val="3"/>
          <w:sz w:val="31"/>
          <w:szCs w:val="31"/>
          <w:highlight w:val="none"/>
          <w:lang w:eastAsia="zh-CN"/>
        </w:rPr>
        <w:t>二十一、</w:t>
      </w:r>
      <w:r>
        <w:rPr>
          <w:rFonts w:hint="eastAsia" w:ascii="Times New Roman" w:hAnsi="Times New Roman" w:eastAsia="方正仿宋_GBK" w:cs="Times New Roman"/>
          <w:b/>
          <w:bCs/>
          <w:color w:val="auto"/>
          <w:spacing w:val="3"/>
          <w:sz w:val="31"/>
          <w:szCs w:val="31"/>
          <w:highlight w:val="none"/>
          <w:lang w:eastAsia="zh-CN"/>
        </w:rPr>
        <w:t>“</w:t>
      </w:r>
      <w:r>
        <w:rPr>
          <w:rFonts w:hint="default" w:ascii="Times New Roman" w:hAnsi="Times New Roman" w:eastAsia="方正仿宋_GBK" w:cs="Times New Roman"/>
          <w:b/>
          <w:bCs/>
          <w:color w:val="auto"/>
          <w:spacing w:val="3"/>
          <w:sz w:val="31"/>
          <w:szCs w:val="31"/>
          <w:highlight w:val="none"/>
          <w:lang w:eastAsia="zh-CN"/>
        </w:rPr>
        <w:t>三公”经费：</w:t>
      </w:r>
      <w:r>
        <w:rPr>
          <w:rFonts w:hint="default" w:ascii="Times New Roman" w:hAnsi="Times New Roman" w:eastAsia="方正仿宋_GBK" w:cs="Times New Roman"/>
          <w:color w:val="auto"/>
          <w:spacing w:val="8"/>
          <w:sz w:val="31"/>
          <w:szCs w:val="31"/>
          <w:highlight w:val="none"/>
        </w:rPr>
        <w:t>纳入中央财政预决算管理的</w:t>
      </w:r>
      <w:r>
        <w:rPr>
          <w:rFonts w:hint="eastAsia" w:ascii="Times New Roman" w:hAnsi="Times New Roman" w:eastAsia="宋体" w:cs="Times New Roman"/>
          <w:color w:val="auto"/>
          <w:spacing w:val="8"/>
          <w:sz w:val="31"/>
          <w:szCs w:val="31"/>
          <w:highlight w:val="none"/>
          <w:lang w:eastAsia="zh-CN"/>
        </w:rPr>
        <w:t>“</w:t>
      </w:r>
      <w:r>
        <w:rPr>
          <w:rFonts w:hint="default" w:ascii="Times New Roman" w:hAnsi="Times New Roman" w:eastAsia="Times New Roman" w:cs="Times New Roman"/>
          <w:color w:val="auto"/>
          <w:spacing w:val="-30"/>
          <w:sz w:val="31"/>
          <w:szCs w:val="31"/>
          <w:highlight w:val="none"/>
        </w:rPr>
        <w:t xml:space="preserve"> </w:t>
      </w:r>
      <w:r>
        <w:rPr>
          <w:rFonts w:hint="default" w:ascii="Times New Roman" w:hAnsi="Times New Roman" w:eastAsia="方正仿宋_GBK" w:cs="Times New Roman"/>
          <w:color w:val="auto"/>
          <w:spacing w:val="8"/>
          <w:sz w:val="31"/>
          <w:szCs w:val="31"/>
          <w:highlight w:val="none"/>
        </w:rPr>
        <w:t>三公</w:t>
      </w:r>
      <w:r>
        <w:rPr>
          <w:rFonts w:hint="default" w:ascii="Times New Roman" w:hAnsi="Times New Roman" w:eastAsia="Times New Roman" w:cs="Times New Roman"/>
          <w:color w:val="auto"/>
          <w:spacing w:val="8"/>
          <w:sz w:val="31"/>
          <w:szCs w:val="31"/>
          <w:highlight w:val="none"/>
        </w:rPr>
        <w:t>”</w:t>
      </w:r>
      <w:r>
        <w:rPr>
          <w:rFonts w:hint="default" w:ascii="Times New Roman" w:hAnsi="Times New Roman" w:eastAsia="Times New Roman" w:cs="Times New Roman"/>
          <w:color w:val="auto"/>
          <w:spacing w:val="-52"/>
          <w:sz w:val="31"/>
          <w:szCs w:val="31"/>
          <w:highlight w:val="none"/>
        </w:rPr>
        <w:t xml:space="preserve"> </w:t>
      </w:r>
      <w:r>
        <w:rPr>
          <w:rFonts w:hint="default" w:ascii="Times New Roman" w:hAnsi="Times New Roman" w:eastAsia="方正仿宋_GBK" w:cs="Times New Roman"/>
          <w:color w:val="auto"/>
          <w:spacing w:val="8"/>
          <w:sz w:val="31"/>
          <w:szCs w:val="31"/>
          <w:highlight w:val="none"/>
        </w:rPr>
        <w:t>经</w:t>
      </w:r>
      <w:r>
        <w:rPr>
          <w:rFonts w:hint="default" w:ascii="Times New Roman" w:hAnsi="Times New Roman" w:eastAsia="方正仿宋_GBK" w:cs="Times New Roman"/>
          <w:color w:val="auto"/>
          <w:spacing w:val="5"/>
          <w:sz w:val="31"/>
          <w:szCs w:val="31"/>
          <w:highlight w:val="none"/>
        </w:rPr>
        <w:t>费，指中央部门用财政拨款安排的因公出国（境）费、公务用车</w:t>
      </w:r>
      <w:r>
        <w:rPr>
          <w:rFonts w:hint="default" w:ascii="Times New Roman" w:hAnsi="Times New Roman" w:eastAsia="方正仿宋_GBK" w:cs="Times New Roman"/>
          <w:color w:val="auto"/>
          <w:spacing w:val="-4"/>
          <w:sz w:val="31"/>
          <w:szCs w:val="31"/>
          <w:highlight w:val="none"/>
        </w:rPr>
        <w:t>购置及运行维护费和公务接待费。其中，</w:t>
      </w:r>
      <w:r>
        <w:rPr>
          <w:rFonts w:hint="default" w:ascii="Times New Roman" w:hAnsi="Times New Roman" w:eastAsia="方正仿宋_GBK" w:cs="Times New Roman"/>
          <w:color w:val="auto"/>
          <w:spacing w:val="115"/>
          <w:sz w:val="31"/>
          <w:szCs w:val="31"/>
          <w:highlight w:val="none"/>
        </w:rPr>
        <w:t xml:space="preserve"> </w:t>
      </w:r>
      <w:r>
        <w:rPr>
          <w:rFonts w:hint="default" w:ascii="Times New Roman" w:hAnsi="Times New Roman" w:eastAsia="方正仿宋_GBK" w:cs="Times New Roman"/>
          <w:color w:val="auto"/>
          <w:spacing w:val="-4"/>
          <w:sz w:val="31"/>
          <w:szCs w:val="31"/>
          <w:highlight w:val="none"/>
        </w:rPr>
        <w:t>因公出国（境）费反映</w:t>
      </w:r>
      <w:r>
        <w:rPr>
          <w:rFonts w:hint="default" w:ascii="Times New Roman" w:hAnsi="Times New Roman" w:eastAsia="方正仿宋_GBK" w:cs="Times New Roman"/>
          <w:color w:val="auto"/>
          <w:spacing w:val="8"/>
          <w:sz w:val="31"/>
          <w:szCs w:val="31"/>
          <w:highlight w:val="none"/>
        </w:rPr>
        <w:t>单位公务出国（境）的国际旅费、国外城市间交通费、住</w:t>
      </w:r>
      <w:r>
        <w:rPr>
          <w:rFonts w:hint="default" w:ascii="Times New Roman" w:hAnsi="Times New Roman" w:eastAsia="方正仿宋_GBK" w:cs="Times New Roman"/>
          <w:color w:val="auto"/>
          <w:spacing w:val="7"/>
          <w:sz w:val="31"/>
          <w:szCs w:val="31"/>
          <w:highlight w:val="none"/>
        </w:rPr>
        <w:t>宿费、</w:t>
      </w:r>
      <w:r>
        <w:rPr>
          <w:rFonts w:hint="default" w:ascii="Times New Roman" w:hAnsi="Times New Roman" w:eastAsia="方正仿宋_GBK" w:cs="Times New Roman"/>
          <w:color w:val="auto"/>
          <w:spacing w:val="5"/>
          <w:sz w:val="31"/>
          <w:szCs w:val="31"/>
          <w:highlight w:val="none"/>
        </w:rPr>
        <w:t>伙食费、培训费、公杂费等支出；公务用车购置及运行维护费反映单位公务用车车辆购置支出（含车辆购置税）及燃料费、维修费、过路过桥费、保险费、安全奖励费用等支出；公务接待费反</w:t>
      </w:r>
      <w:r>
        <w:rPr>
          <w:rFonts w:hint="default" w:ascii="Times New Roman" w:hAnsi="Times New Roman" w:eastAsia="方正仿宋_GBK" w:cs="Times New Roman"/>
          <w:color w:val="auto"/>
          <w:spacing w:val="4"/>
          <w:sz w:val="31"/>
          <w:szCs w:val="31"/>
          <w:highlight w:val="none"/>
        </w:rPr>
        <w:t>映单位按规定开支的各类公务接待（含外宾接待）支出。</w:t>
      </w:r>
    </w:p>
    <w:p>
      <w:pPr>
        <w:keepNext w:val="0"/>
        <w:keepLines w:val="0"/>
        <w:pageBreakBefore w:val="0"/>
        <w:widowControl/>
        <w:kinsoku/>
        <w:wordWrap/>
        <w:overflowPunct/>
        <w:topLinePunct w:val="0"/>
        <w:autoSpaceDE w:val="0"/>
        <w:autoSpaceDN w:val="0"/>
        <w:bidi w:val="0"/>
        <w:adjustRightInd w:val="0"/>
        <w:snapToGrid w:val="0"/>
        <w:spacing w:before="7" w:line="600" w:lineRule="exact"/>
        <w:ind w:firstLine="656"/>
        <w:textAlignment w:val="baseline"/>
        <w:rPr>
          <w:rFonts w:hint="default" w:ascii="Times New Roman" w:hAnsi="Times New Roman" w:cs="Times New Roman"/>
          <w:color w:val="auto"/>
          <w:highlight w:val="none"/>
        </w:rPr>
      </w:pPr>
      <w:r>
        <w:rPr>
          <w:rFonts w:hint="default" w:ascii="Times New Roman" w:hAnsi="Times New Roman" w:eastAsia="方正仿宋_GBK" w:cs="Times New Roman"/>
          <w:b/>
          <w:bCs/>
          <w:color w:val="auto"/>
          <w:spacing w:val="2"/>
          <w:sz w:val="31"/>
          <w:szCs w:val="31"/>
          <w:highlight w:val="none"/>
        </w:rPr>
        <w:t>二十</w:t>
      </w:r>
      <w:r>
        <w:rPr>
          <w:rFonts w:hint="default" w:ascii="Times New Roman" w:hAnsi="Times New Roman" w:eastAsia="方正仿宋_GBK" w:cs="Times New Roman"/>
          <w:b/>
          <w:bCs/>
          <w:color w:val="auto"/>
          <w:spacing w:val="2"/>
          <w:sz w:val="31"/>
          <w:szCs w:val="31"/>
          <w:highlight w:val="none"/>
          <w:lang w:eastAsia="zh-CN"/>
        </w:rPr>
        <w:t>二</w:t>
      </w:r>
      <w:r>
        <w:rPr>
          <w:rFonts w:hint="default" w:ascii="Times New Roman" w:hAnsi="Times New Roman" w:eastAsia="方正仿宋_GBK" w:cs="Times New Roman"/>
          <w:b/>
          <w:bCs/>
          <w:color w:val="auto"/>
          <w:spacing w:val="2"/>
          <w:sz w:val="31"/>
          <w:szCs w:val="31"/>
          <w:highlight w:val="none"/>
        </w:rPr>
        <w:t>、机关运行经费：</w:t>
      </w:r>
      <w:r>
        <w:rPr>
          <w:rFonts w:hint="default" w:ascii="Times New Roman" w:hAnsi="Times New Roman" w:eastAsia="方正仿宋_GBK" w:cs="Times New Roman"/>
          <w:color w:val="auto"/>
          <w:spacing w:val="2"/>
          <w:sz w:val="31"/>
          <w:szCs w:val="31"/>
          <w:highlight w:val="none"/>
        </w:rPr>
        <w:t>为保障行政单位（包括参照公务员</w:t>
      </w:r>
      <w:r>
        <w:rPr>
          <w:rFonts w:hint="default" w:ascii="Times New Roman" w:hAnsi="Times New Roman" w:eastAsia="方正仿宋_GBK" w:cs="Times New Roman"/>
          <w:color w:val="auto"/>
          <w:spacing w:val="5"/>
          <w:sz w:val="31"/>
          <w:szCs w:val="31"/>
          <w:highlight w:val="none"/>
        </w:rPr>
        <w:t>法管理的事业单位）运行用于购买货物和服务的各项资金，包括办公费、印刷费、邮电费、差旅费、会议费、日常维修费、专用材料及一般设备购置费、办公用房水电费、办公用房取暖费、办</w:t>
      </w:r>
      <w:r>
        <w:rPr>
          <w:rFonts w:hint="default" w:ascii="Times New Roman" w:hAnsi="Times New Roman" w:eastAsia="方正仿宋_GBK" w:cs="Times New Roman"/>
          <w:color w:val="auto"/>
          <w:spacing w:val="7"/>
          <w:sz w:val="31"/>
          <w:szCs w:val="31"/>
          <w:highlight w:val="none"/>
        </w:rPr>
        <w:t>公用房物业管理费、公务用车运行维护费以及其他费用</w:t>
      </w:r>
      <w:r>
        <w:rPr>
          <w:rFonts w:hint="eastAsia" w:ascii="Times New Roman" w:hAnsi="Times New Roman" w:eastAsia="方正仿宋_GBK" w:cs="Times New Roman"/>
          <w:color w:val="auto"/>
          <w:spacing w:val="7"/>
          <w:sz w:val="31"/>
          <w:szCs w:val="31"/>
          <w:highlight w:val="none"/>
          <w:lang w:eastAsia="zh-CN"/>
        </w:rPr>
        <w:t>。</w:t>
      </w:r>
    </w:p>
    <w:p>
      <w:pPr>
        <w:keepNext w:val="0"/>
        <w:keepLines w:val="0"/>
        <w:pageBreakBefore w:val="0"/>
        <w:widowControl/>
        <w:kinsoku/>
        <w:wordWrap/>
        <w:topLinePunct w:val="0"/>
        <w:bidi w:val="0"/>
      </w:pPr>
    </w:p>
    <w:sectPr>
      <w:footerReference r:id="rId14" w:type="default"/>
      <w:pgSz w:w="11907" w:h="16839"/>
      <w:pgMar w:top="2098" w:right="1531" w:bottom="1531" w:left="1531" w:header="0" w:footer="677" w:gutter="0"/>
      <w:pgBorders>
        <w:top w:val="none" w:sz="0" w:space="0"/>
        <w:left w:val="none" w:sz="0" w:space="0"/>
        <w:bottom w:val="none" w:sz="0" w:space="0"/>
        <w:right w:val="none" w:sz="0" w:space="0"/>
      </w:pgBorders>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A00002EF" w:usb1="4000004B" w:usb2="00000000" w:usb3="00000000" w:csb0="2000009F" w:csb1="00000000"/>
  </w:font>
  <w:font w:name="楷体">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5" w:lineRule="auto"/>
      <w:rPr>
        <w:rFonts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1" name="文本框 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default" w:ascii="Times New Roman" w:hAnsi="Times New Roman" w:cs="Times New Roman"/>
                              <w:color w:val="E6B9B8" w:themeColor="accent2" w:themeTint="66"/>
                              <w:sz w:val="24"/>
                              <w:szCs w:val="24"/>
                              <w14:glow w14:rad="0">
                                <w14:srgbClr w14:val="000000"/>
                              </w14:glow>
                              <w14:reflection w14:blurRad="0" w14:stA="0" w14:stPos="0" w14:endA="0" w14:endPos="0" w14:dist="0" w14:dir="0" w14:fadeDir="0" w14:sx="0" w14:sy="0" w14:kx="0" w14:ky="0" w14:algn="none"/>
                              <w14:textOutline w14:w="22225">
                                <w14:solidFill>
                                  <w14:schemeClr w14:val="accent2"/>
                                </w14:solidFill>
                                <w14:prstDash w14:val="solid"/>
                                <w14:round/>
                              </w14:textOutline>
                              <w14:textFill>
                                <w14:solidFill>
                                  <w14:schemeClr w14:val="accent2">
                                    <w14:lumMod w14:val="40000"/>
                                    <w14:lumOff w14:val="60000"/>
                                  </w14:schemeClr>
                                </w14:solidFill>
                              </w14:textFill>
                              <w14:props3d w14:extrusionH="0" w14:contourW="0" w14:prstMaterial="clear"/>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azvg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2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RrO+DICAABjBAAADgAAAAAAAAABACAAAAAfAQAAZHJzL2Uyb0RvYy54bWxQSwUG&#10;AAAAAAYABgBZAQAAwwUAAAAA&#10;">
              <v:fill on="f" focussize="0,0"/>
              <v:stroke on="f" weight="0.5pt"/>
              <v:imagedata o:title=""/>
              <o:lock v:ext="edit" aspectratio="f"/>
              <v:textbox inset="0mm,0mm,0mm,0mm" style="mso-fit-shape-to-text:t;">
                <w:txbxContent>
                  <w:p>
                    <w:pPr>
                      <w:pStyle w:val="7"/>
                      <w:rPr>
                        <w:rFonts w:hint="default" w:ascii="Times New Roman" w:hAnsi="Times New Roman" w:cs="Times New Roman"/>
                        <w:color w:val="E6B9B8" w:themeColor="accent2" w:themeTint="66"/>
                        <w:sz w:val="24"/>
                        <w:szCs w:val="24"/>
                        <w14:glow w14:rad="0">
                          <w14:srgbClr w14:val="000000"/>
                        </w14:glow>
                        <w14:reflection w14:blurRad="0" w14:stA="0" w14:stPos="0" w14:endA="0" w14:endPos="0" w14:dist="0" w14:dir="0" w14:fadeDir="0" w14:sx="0" w14:sy="0" w14:kx="0" w14:ky="0" w14:algn="none"/>
                        <w14:textOutline w14:w="22225">
                          <w14:solidFill>
                            <w14:schemeClr w14:val="accent2"/>
                          </w14:solidFill>
                          <w14:prstDash w14:val="solid"/>
                          <w14:round/>
                        </w14:textOutline>
                        <w14:textFill>
                          <w14:solidFill>
                            <w14:schemeClr w14:val="accent2">
                              <w14:lumMod w14:val="40000"/>
                              <w14:lumOff w14:val="60000"/>
                            </w14:schemeClr>
                          </w14:solidFill>
                        </w14:textFill>
                        <w14:props3d w14:extrusionH="0" w14:contourW="0" w14:prstMaterial="clear"/>
                      </w:rPr>
                    </w:pP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3" w:lineRule="auto"/>
      <w:ind w:left="4283"/>
      <w:rPr>
        <w:rFonts w:ascii="Times New Roman" w:hAnsi="Times New Roman" w:eastAsia="Times New Roman" w:cs="Times New Roman"/>
        <w:sz w:val="24"/>
        <w:szCs w:val="24"/>
      </w:rPr>
    </w:pPr>
    <w:r>
      <w:rPr>
        <w:sz w:val="24"/>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49</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49</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5" w:lineRule="auto"/>
      <w:ind w:left="5965"/>
      <w:rPr>
        <w:rFonts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3</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3</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4164"/>
      <w:rPr>
        <w:rFonts w:ascii="宋体" w:hAnsi="宋体" w:eastAsia="宋体" w:cs="宋体"/>
        <w:sz w:val="28"/>
        <w:szCs w:val="28"/>
      </w:rPr>
    </w:pPr>
    <w:r>
      <w:rPr>
        <w:sz w:val="2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4</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4</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3" w:lineRule="auto"/>
      <w:ind w:left="5903"/>
      <w:rPr>
        <w:rFonts w:ascii="Times New Roman" w:hAnsi="Times New Roman" w:eastAsia="Times New Roman" w:cs="Times New Roman"/>
        <w:sz w:val="24"/>
        <w:szCs w:val="24"/>
      </w:rPr>
    </w:pPr>
    <w:r>
      <w:rPr>
        <w:sz w:val="24"/>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8</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8</w:t>
                    </w:r>
                    <w:r>
                      <w:fldChar w:fldCharType="end"/>
                    </w:r>
                    <w: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3" w:lineRule="auto"/>
      <w:ind w:left="4329"/>
      <w:rPr>
        <w:rFonts w:hint="eastAsia" w:ascii="Times New Roman" w:hAnsi="Times New Roman" w:eastAsia="宋体" w:cs="Times New Roman"/>
        <w:sz w:val="24"/>
        <w:szCs w:val="24"/>
        <w:lang w:val="en-US" w:eastAsia="zh-CN"/>
      </w:rPr>
    </w:pPr>
    <w:r>
      <w:rPr>
        <w:sz w:val="24"/>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10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10</w:t>
                    </w:r>
                    <w:r>
                      <w:fldChar w:fldCharType="end"/>
                    </w:r>
                    <w: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3" w:lineRule="auto"/>
      <w:ind w:left="5861"/>
      <w:rPr>
        <w:rFonts w:ascii="Times New Roman" w:hAnsi="Times New Roman" w:eastAsia="Times New Roman" w:cs="Times New Roman"/>
        <w:sz w:val="24"/>
        <w:szCs w:val="24"/>
      </w:rPr>
    </w:pPr>
    <w:r>
      <w:rPr>
        <w:sz w:val="24"/>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18</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18</w:t>
                    </w:r>
                    <w:r>
                      <w:fldChar w:fldCharType="end"/>
                    </w:r>
                    <w: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3" w:lineRule="auto"/>
      <w:ind w:left="4329"/>
      <w:rPr>
        <w:rFonts w:ascii="Times New Roman" w:hAnsi="Times New Roman" w:eastAsia="Times New Roman" w:cs="Times New Roman"/>
        <w:sz w:val="24"/>
        <w:szCs w:val="24"/>
      </w:rPr>
    </w:pPr>
    <w:r>
      <w:rPr>
        <w:sz w:val="24"/>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19</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19</w:t>
                    </w:r>
                    <w:r>
                      <w:fldChar w:fldCharType="end"/>
                    </w:r>
                    <w: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5" w:lineRule="auto"/>
      <w:ind w:left="4308"/>
      <w:rPr>
        <w:rFonts w:ascii="宋体" w:hAnsi="宋体" w:eastAsia="宋体" w:cs="宋体"/>
        <w:sz w:val="24"/>
        <w:szCs w:val="24"/>
      </w:rPr>
    </w:pPr>
    <w:r>
      <w:rPr>
        <w:sz w:val="24"/>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38</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38</w:t>
                    </w:r>
                    <w:r>
                      <w:fldChar w:fldCharType="end"/>
                    </w:r>
                    <w: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3" w:lineRule="auto"/>
      <w:ind w:left="5837"/>
      <w:rPr>
        <w:rFonts w:ascii="Times New Roman" w:hAnsi="Times New Roman" w:eastAsia="Times New Roman" w:cs="Times New Roman"/>
        <w:sz w:val="24"/>
        <w:szCs w:val="24"/>
      </w:rPr>
    </w:pPr>
    <w:r>
      <w:rPr>
        <w:sz w:val="24"/>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43</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43</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docVars>
    <w:docVar w:name="commondata" w:val="eyJoZGlkIjoiMmUxZWYzMGM0N2ZjYjc2YmJhYmVmYjgyOTBiNjc5N2YifQ=="/>
  </w:docVars>
  <w:rsids>
    <w:rsidRoot w:val="00000000"/>
    <w:rsid w:val="001C5727"/>
    <w:rsid w:val="00895F55"/>
    <w:rsid w:val="01654BD1"/>
    <w:rsid w:val="01764B93"/>
    <w:rsid w:val="018A4BE2"/>
    <w:rsid w:val="02076421"/>
    <w:rsid w:val="026779BA"/>
    <w:rsid w:val="02CB1CF7"/>
    <w:rsid w:val="02DC72C7"/>
    <w:rsid w:val="03D50CA5"/>
    <w:rsid w:val="04206073"/>
    <w:rsid w:val="042232EC"/>
    <w:rsid w:val="043268D5"/>
    <w:rsid w:val="047563D0"/>
    <w:rsid w:val="05452311"/>
    <w:rsid w:val="057523EE"/>
    <w:rsid w:val="057743B8"/>
    <w:rsid w:val="058E35D6"/>
    <w:rsid w:val="05B178CA"/>
    <w:rsid w:val="062260D2"/>
    <w:rsid w:val="06532730"/>
    <w:rsid w:val="065D3EB9"/>
    <w:rsid w:val="066B5853"/>
    <w:rsid w:val="076517D2"/>
    <w:rsid w:val="07A34FF1"/>
    <w:rsid w:val="07B90CB8"/>
    <w:rsid w:val="087208DB"/>
    <w:rsid w:val="08730E67"/>
    <w:rsid w:val="087944EF"/>
    <w:rsid w:val="08AF5FB9"/>
    <w:rsid w:val="08B46BC8"/>
    <w:rsid w:val="08E73603"/>
    <w:rsid w:val="08F42B09"/>
    <w:rsid w:val="094B5940"/>
    <w:rsid w:val="095F1B37"/>
    <w:rsid w:val="09A77BE3"/>
    <w:rsid w:val="09B502AE"/>
    <w:rsid w:val="09D05AAE"/>
    <w:rsid w:val="0A3B6E18"/>
    <w:rsid w:val="0B2610D3"/>
    <w:rsid w:val="0B6933E2"/>
    <w:rsid w:val="0B776EC0"/>
    <w:rsid w:val="0BA457DB"/>
    <w:rsid w:val="0BA64D8F"/>
    <w:rsid w:val="0BC419DA"/>
    <w:rsid w:val="0CEB1914"/>
    <w:rsid w:val="0D1D3A97"/>
    <w:rsid w:val="0D4C7340"/>
    <w:rsid w:val="0D5E3553"/>
    <w:rsid w:val="0D676AC1"/>
    <w:rsid w:val="0D6866D2"/>
    <w:rsid w:val="0D8C4BF5"/>
    <w:rsid w:val="0F6B527E"/>
    <w:rsid w:val="0FAC1CE0"/>
    <w:rsid w:val="108A4FA0"/>
    <w:rsid w:val="1164141F"/>
    <w:rsid w:val="116E2B13"/>
    <w:rsid w:val="11A26319"/>
    <w:rsid w:val="123D6042"/>
    <w:rsid w:val="1271208F"/>
    <w:rsid w:val="136A730B"/>
    <w:rsid w:val="1374430E"/>
    <w:rsid w:val="137D2B9A"/>
    <w:rsid w:val="13A6323C"/>
    <w:rsid w:val="14153FD6"/>
    <w:rsid w:val="143B795A"/>
    <w:rsid w:val="14C5460A"/>
    <w:rsid w:val="15134E53"/>
    <w:rsid w:val="152E0C40"/>
    <w:rsid w:val="15806B32"/>
    <w:rsid w:val="15CD131B"/>
    <w:rsid w:val="15EC0B64"/>
    <w:rsid w:val="165F6ECF"/>
    <w:rsid w:val="16846532"/>
    <w:rsid w:val="16C31547"/>
    <w:rsid w:val="16FC9498"/>
    <w:rsid w:val="16FF7D6A"/>
    <w:rsid w:val="171026F5"/>
    <w:rsid w:val="178776E9"/>
    <w:rsid w:val="185B6095"/>
    <w:rsid w:val="18D855A4"/>
    <w:rsid w:val="18F27B86"/>
    <w:rsid w:val="191F1353"/>
    <w:rsid w:val="192D5062"/>
    <w:rsid w:val="19596D8C"/>
    <w:rsid w:val="197C38F4"/>
    <w:rsid w:val="19947F54"/>
    <w:rsid w:val="19EF5010"/>
    <w:rsid w:val="1A1E7039"/>
    <w:rsid w:val="1A600A0D"/>
    <w:rsid w:val="1C1442B7"/>
    <w:rsid w:val="1C3F5BE8"/>
    <w:rsid w:val="1C5B6059"/>
    <w:rsid w:val="1C7A6434"/>
    <w:rsid w:val="1C9249BA"/>
    <w:rsid w:val="1CF10155"/>
    <w:rsid w:val="1D3639A1"/>
    <w:rsid w:val="1D451948"/>
    <w:rsid w:val="1D5E3A3C"/>
    <w:rsid w:val="1D8A14F0"/>
    <w:rsid w:val="1DA15BB5"/>
    <w:rsid w:val="1DC04AA1"/>
    <w:rsid w:val="1DD261D8"/>
    <w:rsid w:val="1F2245CB"/>
    <w:rsid w:val="1F6E6619"/>
    <w:rsid w:val="1F862454"/>
    <w:rsid w:val="1FA80895"/>
    <w:rsid w:val="2009466C"/>
    <w:rsid w:val="20523600"/>
    <w:rsid w:val="20781741"/>
    <w:rsid w:val="2087096D"/>
    <w:rsid w:val="21924AC2"/>
    <w:rsid w:val="229D6DB5"/>
    <w:rsid w:val="23814E99"/>
    <w:rsid w:val="238241FC"/>
    <w:rsid w:val="23E6478B"/>
    <w:rsid w:val="249C309C"/>
    <w:rsid w:val="24BC729A"/>
    <w:rsid w:val="25257535"/>
    <w:rsid w:val="25526614"/>
    <w:rsid w:val="25592D3B"/>
    <w:rsid w:val="25EB4D1E"/>
    <w:rsid w:val="26192BF6"/>
    <w:rsid w:val="26312D96"/>
    <w:rsid w:val="26D14496"/>
    <w:rsid w:val="26ED789E"/>
    <w:rsid w:val="271A1B59"/>
    <w:rsid w:val="273870AC"/>
    <w:rsid w:val="27693709"/>
    <w:rsid w:val="2776688C"/>
    <w:rsid w:val="27CB43C4"/>
    <w:rsid w:val="27D03788"/>
    <w:rsid w:val="27DE153B"/>
    <w:rsid w:val="288479A5"/>
    <w:rsid w:val="28A30E9D"/>
    <w:rsid w:val="29826927"/>
    <w:rsid w:val="29D01D35"/>
    <w:rsid w:val="2A443FBA"/>
    <w:rsid w:val="2AE31A25"/>
    <w:rsid w:val="2B8E1A1E"/>
    <w:rsid w:val="2BB974A6"/>
    <w:rsid w:val="2BED6A85"/>
    <w:rsid w:val="2C5F50DB"/>
    <w:rsid w:val="2CEF75BF"/>
    <w:rsid w:val="2D0A6A37"/>
    <w:rsid w:val="2D3C1E2D"/>
    <w:rsid w:val="2DD438A6"/>
    <w:rsid w:val="2DE30102"/>
    <w:rsid w:val="2DE32107"/>
    <w:rsid w:val="2E0C4DEE"/>
    <w:rsid w:val="2E2257A5"/>
    <w:rsid w:val="2EA850C9"/>
    <w:rsid w:val="2EC050F2"/>
    <w:rsid w:val="2ECE5E9F"/>
    <w:rsid w:val="2EEB70FA"/>
    <w:rsid w:val="2F37233F"/>
    <w:rsid w:val="2F906DA9"/>
    <w:rsid w:val="2F9C6646"/>
    <w:rsid w:val="306E1D90"/>
    <w:rsid w:val="31AF3D3F"/>
    <w:rsid w:val="31DD626C"/>
    <w:rsid w:val="325C44C2"/>
    <w:rsid w:val="32CE4307"/>
    <w:rsid w:val="32DC7485"/>
    <w:rsid w:val="332A613E"/>
    <w:rsid w:val="346E139E"/>
    <w:rsid w:val="34806536"/>
    <w:rsid w:val="34AB6505"/>
    <w:rsid w:val="34CA25C5"/>
    <w:rsid w:val="350B635F"/>
    <w:rsid w:val="358D0F0B"/>
    <w:rsid w:val="35AB75E3"/>
    <w:rsid w:val="364A067C"/>
    <w:rsid w:val="36C24BE4"/>
    <w:rsid w:val="36D52B69"/>
    <w:rsid w:val="37557806"/>
    <w:rsid w:val="379E173C"/>
    <w:rsid w:val="37B95FE7"/>
    <w:rsid w:val="387864DB"/>
    <w:rsid w:val="38B86862"/>
    <w:rsid w:val="38D2190F"/>
    <w:rsid w:val="390E0EFB"/>
    <w:rsid w:val="39A607ED"/>
    <w:rsid w:val="39E3734B"/>
    <w:rsid w:val="3A766411"/>
    <w:rsid w:val="3AAA10FE"/>
    <w:rsid w:val="3B390336"/>
    <w:rsid w:val="3B514EB8"/>
    <w:rsid w:val="3C676D43"/>
    <w:rsid w:val="3CA07775"/>
    <w:rsid w:val="3CEF6007"/>
    <w:rsid w:val="3D167A38"/>
    <w:rsid w:val="3D421FBB"/>
    <w:rsid w:val="3D430CEE"/>
    <w:rsid w:val="3D5F4115"/>
    <w:rsid w:val="3D65232F"/>
    <w:rsid w:val="3D65276D"/>
    <w:rsid w:val="3D9077EA"/>
    <w:rsid w:val="3DBF148A"/>
    <w:rsid w:val="3DC756F9"/>
    <w:rsid w:val="3DF044B2"/>
    <w:rsid w:val="3E0E4BB3"/>
    <w:rsid w:val="3EF43CA7"/>
    <w:rsid w:val="3F0365C7"/>
    <w:rsid w:val="3FA51AEF"/>
    <w:rsid w:val="3FAA4549"/>
    <w:rsid w:val="3FAF65F4"/>
    <w:rsid w:val="3FCB344E"/>
    <w:rsid w:val="3FE4B1B8"/>
    <w:rsid w:val="3FF73B50"/>
    <w:rsid w:val="40191C22"/>
    <w:rsid w:val="402B5594"/>
    <w:rsid w:val="4038148A"/>
    <w:rsid w:val="40572841"/>
    <w:rsid w:val="407A4275"/>
    <w:rsid w:val="41125964"/>
    <w:rsid w:val="41547C60"/>
    <w:rsid w:val="42292165"/>
    <w:rsid w:val="42492C9C"/>
    <w:rsid w:val="424961B9"/>
    <w:rsid w:val="42B86E9B"/>
    <w:rsid w:val="42E17B48"/>
    <w:rsid w:val="43014CE6"/>
    <w:rsid w:val="430420E0"/>
    <w:rsid w:val="43A616CE"/>
    <w:rsid w:val="43AE4585"/>
    <w:rsid w:val="43B9736F"/>
    <w:rsid w:val="43BA50CC"/>
    <w:rsid w:val="444A742D"/>
    <w:rsid w:val="45C817B2"/>
    <w:rsid w:val="45CD7101"/>
    <w:rsid w:val="45F9525B"/>
    <w:rsid w:val="46C95B1B"/>
    <w:rsid w:val="46D30747"/>
    <w:rsid w:val="470A5736"/>
    <w:rsid w:val="47213261"/>
    <w:rsid w:val="47881532"/>
    <w:rsid w:val="47AD2D46"/>
    <w:rsid w:val="47DE1152"/>
    <w:rsid w:val="47E435E3"/>
    <w:rsid w:val="48083FFF"/>
    <w:rsid w:val="486F289A"/>
    <w:rsid w:val="48C447EC"/>
    <w:rsid w:val="498F1A31"/>
    <w:rsid w:val="499B66D1"/>
    <w:rsid w:val="49C57422"/>
    <w:rsid w:val="49D123EE"/>
    <w:rsid w:val="4A735DEF"/>
    <w:rsid w:val="4A7D4C52"/>
    <w:rsid w:val="4AF56EDE"/>
    <w:rsid w:val="4B08477A"/>
    <w:rsid w:val="4B663938"/>
    <w:rsid w:val="4BF30F0E"/>
    <w:rsid w:val="4BF947AC"/>
    <w:rsid w:val="4C0D0258"/>
    <w:rsid w:val="4C4D3F08"/>
    <w:rsid w:val="4CB701C3"/>
    <w:rsid w:val="4CC4300C"/>
    <w:rsid w:val="4CE4545C"/>
    <w:rsid w:val="4D0D79B2"/>
    <w:rsid w:val="4D1675E0"/>
    <w:rsid w:val="4D5325E2"/>
    <w:rsid w:val="4D5636C2"/>
    <w:rsid w:val="4D8207D1"/>
    <w:rsid w:val="4DCA28A4"/>
    <w:rsid w:val="4E127DA7"/>
    <w:rsid w:val="4E562824"/>
    <w:rsid w:val="4EB70E15"/>
    <w:rsid w:val="4F1C324D"/>
    <w:rsid w:val="4F376CDC"/>
    <w:rsid w:val="4F460F98"/>
    <w:rsid w:val="4F512B51"/>
    <w:rsid w:val="4F591FFC"/>
    <w:rsid w:val="4F745E2C"/>
    <w:rsid w:val="4F7800DE"/>
    <w:rsid w:val="4F860DBA"/>
    <w:rsid w:val="501B4D1C"/>
    <w:rsid w:val="502918AA"/>
    <w:rsid w:val="50711A7B"/>
    <w:rsid w:val="50970A38"/>
    <w:rsid w:val="51230945"/>
    <w:rsid w:val="51361FFF"/>
    <w:rsid w:val="518C7E71"/>
    <w:rsid w:val="52780ADA"/>
    <w:rsid w:val="52BA27BB"/>
    <w:rsid w:val="52D61424"/>
    <w:rsid w:val="532145E9"/>
    <w:rsid w:val="53281E1B"/>
    <w:rsid w:val="53526E09"/>
    <w:rsid w:val="535E5A5F"/>
    <w:rsid w:val="536E0BB8"/>
    <w:rsid w:val="53BF62DB"/>
    <w:rsid w:val="53CB5C3E"/>
    <w:rsid w:val="53FD20BF"/>
    <w:rsid w:val="54290643"/>
    <w:rsid w:val="543078D7"/>
    <w:rsid w:val="547E7F44"/>
    <w:rsid w:val="54AF522D"/>
    <w:rsid w:val="54C31DFB"/>
    <w:rsid w:val="54DB5397"/>
    <w:rsid w:val="54FE2E33"/>
    <w:rsid w:val="550A4AAE"/>
    <w:rsid w:val="554A7153"/>
    <w:rsid w:val="556B321E"/>
    <w:rsid w:val="55747599"/>
    <w:rsid w:val="55C8213D"/>
    <w:rsid w:val="55D96470"/>
    <w:rsid w:val="560D71B2"/>
    <w:rsid w:val="561B17C3"/>
    <w:rsid w:val="568578F8"/>
    <w:rsid w:val="56CB4F97"/>
    <w:rsid w:val="56DB248B"/>
    <w:rsid w:val="56E655D7"/>
    <w:rsid w:val="57422968"/>
    <w:rsid w:val="57476390"/>
    <w:rsid w:val="577E025B"/>
    <w:rsid w:val="57B84A60"/>
    <w:rsid w:val="57C76041"/>
    <w:rsid w:val="57CA6A87"/>
    <w:rsid w:val="581B1F4E"/>
    <w:rsid w:val="584A6390"/>
    <w:rsid w:val="5851771E"/>
    <w:rsid w:val="58966556"/>
    <w:rsid w:val="58B42F9B"/>
    <w:rsid w:val="59937EC3"/>
    <w:rsid w:val="5A571BC1"/>
    <w:rsid w:val="5A652E2B"/>
    <w:rsid w:val="5A6A4746"/>
    <w:rsid w:val="5A6E2809"/>
    <w:rsid w:val="5AA93733"/>
    <w:rsid w:val="5B1E08CC"/>
    <w:rsid w:val="5B2353A2"/>
    <w:rsid w:val="5C135D05"/>
    <w:rsid w:val="5CF70B75"/>
    <w:rsid w:val="5D494E68"/>
    <w:rsid w:val="5D565ED5"/>
    <w:rsid w:val="5D9057B4"/>
    <w:rsid w:val="5EDB6A04"/>
    <w:rsid w:val="5EF5D489"/>
    <w:rsid w:val="5F0E45BB"/>
    <w:rsid w:val="5F456D65"/>
    <w:rsid w:val="5F4E6098"/>
    <w:rsid w:val="5FBD69A7"/>
    <w:rsid w:val="5FD0361E"/>
    <w:rsid w:val="5FE137DD"/>
    <w:rsid w:val="5FFF28F6"/>
    <w:rsid w:val="601237DD"/>
    <w:rsid w:val="606C3347"/>
    <w:rsid w:val="61834DEC"/>
    <w:rsid w:val="6198686E"/>
    <w:rsid w:val="61D35D9C"/>
    <w:rsid w:val="62CC27C3"/>
    <w:rsid w:val="631F6D97"/>
    <w:rsid w:val="63282EF4"/>
    <w:rsid w:val="63A1155A"/>
    <w:rsid w:val="63B76EED"/>
    <w:rsid w:val="63BE5405"/>
    <w:rsid w:val="63CD4F2B"/>
    <w:rsid w:val="63D556A7"/>
    <w:rsid w:val="643D3E8F"/>
    <w:rsid w:val="64470089"/>
    <w:rsid w:val="646A272A"/>
    <w:rsid w:val="64DE249A"/>
    <w:rsid w:val="650C6E60"/>
    <w:rsid w:val="655A5E64"/>
    <w:rsid w:val="65AE4402"/>
    <w:rsid w:val="65FF50F8"/>
    <w:rsid w:val="66000228"/>
    <w:rsid w:val="660E5B28"/>
    <w:rsid w:val="66522FDF"/>
    <w:rsid w:val="668C4743"/>
    <w:rsid w:val="66D045C0"/>
    <w:rsid w:val="66E93710"/>
    <w:rsid w:val="67CD1BF1"/>
    <w:rsid w:val="686314D3"/>
    <w:rsid w:val="68840010"/>
    <w:rsid w:val="688F44CC"/>
    <w:rsid w:val="697231D4"/>
    <w:rsid w:val="69AA3132"/>
    <w:rsid w:val="69BD5738"/>
    <w:rsid w:val="6AC76762"/>
    <w:rsid w:val="6AEF704E"/>
    <w:rsid w:val="6B204A67"/>
    <w:rsid w:val="6B2D5DC9"/>
    <w:rsid w:val="6B39476E"/>
    <w:rsid w:val="6BAD2D8D"/>
    <w:rsid w:val="6BAE1909"/>
    <w:rsid w:val="6BC4672D"/>
    <w:rsid w:val="6BD116D9"/>
    <w:rsid w:val="6BECF404"/>
    <w:rsid w:val="6C7D7777"/>
    <w:rsid w:val="6D9D7236"/>
    <w:rsid w:val="6E080427"/>
    <w:rsid w:val="6E3A0F28"/>
    <w:rsid w:val="6EDFFD94"/>
    <w:rsid w:val="6F024AD9"/>
    <w:rsid w:val="6F2C4D6F"/>
    <w:rsid w:val="6F445A00"/>
    <w:rsid w:val="702E2CDF"/>
    <w:rsid w:val="702F4862"/>
    <w:rsid w:val="70A0325C"/>
    <w:rsid w:val="710234E6"/>
    <w:rsid w:val="712B4B58"/>
    <w:rsid w:val="712B6906"/>
    <w:rsid w:val="71381023"/>
    <w:rsid w:val="714D09F8"/>
    <w:rsid w:val="724834E8"/>
    <w:rsid w:val="724C7E10"/>
    <w:rsid w:val="72A90FFE"/>
    <w:rsid w:val="72B77140"/>
    <w:rsid w:val="72C60FDD"/>
    <w:rsid w:val="72E3698D"/>
    <w:rsid w:val="72F5541E"/>
    <w:rsid w:val="731A6F12"/>
    <w:rsid w:val="733F2B3D"/>
    <w:rsid w:val="73683E42"/>
    <w:rsid w:val="739E5E3B"/>
    <w:rsid w:val="73A75CC1"/>
    <w:rsid w:val="7400051E"/>
    <w:rsid w:val="74246567"/>
    <w:rsid w:val="74424504"/>
    <w:rsid w:val="74AF784E"/>
    <w:rsid w:val="74BBA99A"/>
    <w:rsid w:val="75B83625"/>
    <w:rsid w:val="75E513DC"/>
    <w:rsid w:val="767A303E"/>
    <w:rsid w:val="76FD487F"/>
    <w:rsid w:val="77731007"/>
    <w:rsid w:val="77F6BF07"/>
    <w:rsid w:val="78085BF3"/>
    <w:rsid w:val="78177BE5"/>
    <w:rsid w:val="783C764B"/>
    <w:rsid w:val="78E8101C"/>
    <w:rsid w:val="78EA0F28"/>
    <w:rsid w:val="79167F2B"/>
    <w:rsid w:val="793A54E0"/>
    <w:rsid w:val="79497A65"/>
    <w:rsid w:val="79825532"/>
    <w:rsid w:val="79DB73EA"/>
    <w:rsid w:val="79F219C0"/>
    <w:rsid w:val="7A070AC9"/>
    <w:rsid w:val="7A3B4755"/>
    <w:rsid w:val="7AAE5DB4"/>
    <w:rsid w:val="7AB57A01"/>
    <w:rsid w:val="7B242D44"/>
    <w:rsid w:val="7B4E1B6F"/>
    <w:rsid w:val="7B762E74"/>
    <w:rsid w:val="7B7DFD98"/>
    <w:rsid w:val="7BC02341"/>
    <w:rsid w:val="7BC053F6"/>
    <w:rsid w:val="7BC736D0"/>
    <w:rsid w:val="7C06244A"/>
    <w:rsid w:val="7C4B4029"/>
    <w:rsid w:val="7CA81753"/>
    <w:rsid w:val="7CF84488"/>
    <w:rsid w:val="7D120D03"/>
    <w:rsid w:val="7D23702C"/>
    <w:rsid w:val="7DF40BB3"/>
    <w:rsid w:val="7DFE688B"/>
    <w:rsid w:val="7E1E1F5C"/>
    <w:rsid w:val="7E505BFE"/>
    <w:rsid w:val="7E7F0292"/>
    <w:rsid w:val="7E872D7B"/>
    <w:rsid w:val="7E9F8D93"/>
    <w:rsid w:val="7F271629"/>
    <w:rsid w:val="7F5B7F04"/>
    <w:rsid w:val="7F5D3AC4"/>
    <w:rsid w:val="7F7C7A19"/>
    <w:rsid w:val="7FBE88D1"/>
    <w:rsid w:val="7FEF48E5"/>
    <w:rsid w:val="7FF16F6D"/>
    <w:rsid w:val="7FFB015E"/>
    <w:rsid w:val="9EB94E23"/>
    <w:rsid w:val="9FE78EE5"/>
    <w:rsid w:val="A0BE8820"/>
    <w:rsid w:val="AD37A943"/>
    <w:rsid w:val="BCDFECE1"/>
    <w:rsid w:val="BDDDC35A"/>
    <w:rsid w:val="DE328A6C"/>
    <w:rsid w:val="F1761106"/>
    <w:rsid w:val="F4FA5FF6"/>
    <w:rsid w:val="F77F117D"/>
    <w:rsid w:val="F9FF609F"/>
    <w:rsid w:val="FBCC9670"/>
    <w:rsid w:val="FCEF6854"/>
    <w:rsid w:val="FDDF13EC"/>
    <w:rsid w:val="FE724596"/>
    <w:rsid w:val="FF5BC0AF"/>
    <w:rsid w:val="FFBB209A"/>
    <w:rsid w:val="FFDE091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qFormat/>
    <w:uiPriority w:val="9"/>
    <w:pPr>
      <w:keepNext/>
      <w:keepLines/>
      <w:spacing w:before="340" w:after="330" w:line="578" w:lineRule="auto"/>
      <w:outlineLvl w:val="0"/>
    </w:pPr>
    <w:rPr>
      <w:rFonts w:eastAsia="黑体"/>
      <w:bCs/>
      <w:kern w:val="44"/>
      <w:sz w:val="32"/>
      <w:szCs w:val="44"/>
    </w:rPr>
  </w:style>
  <w:style w:type="paragraph" w:styleId="4">
    <w:name w:val="heading 2"/>
    <w:basedOn w:val="1"/>
    <w:next w:val="1"/>
    <w:unhideWhenUsed/>
    <w:qFormat/>
    <w:uiPriority w:val="9"/>
    <w:pPr>
      <w:keepNext/>
      <w:keepLines/>
      <w:spacing w:before="260" w:after="260" w:line="416" w:lineRule="auto"/>
      <w:outlineLvl w:val="1"/>
    </w:pPr>
    <w:rPr>
      <w:rFonts w:eastAsia="楷体" w:asciiTheme="majorHAnsi" w:hAnsiTheme="majorHAnsi" w:cstheme="majorBidi"/>
      <w:b/>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spacing w:line="440" w:lineRule="exact"/>
      <w:ind w:firstLine="480" w:firstLineChars="200"/>
    </w:p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toc 3"/>
    <w:basedOn w:val="1"/>
    <w:next w:val="1"/>
    <w:qFormat/>
    <w:uiPriority w:val="0"/>
    <w:pPr>
      <w:ind w:left="840" w:leftChars="4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方正仿宋_GBK" w:hAnsi="方正仿宋_GBK" w:eastAsia="方正仿宋_GBK" w:cs="方正仿宋_GBK"/>
      <w:sz w:val="31"/>
      <w:szCs w:val="31"/>
      <w:lang w:val="en-US" w:eastAsia="en-US" w:bidi="ar-SA"/>
    </w:rPr>
  </w:style>
  <w:style w:type="character" w:customStyle="1" w:styleId="16">
    <w:name w:val="font51"/>
    <w:basedOn w:val="13"/>
    <w:qFormat/>
    <w:uiPriority w:val="0"/>
    <w:rPr>
      <w:rFonts w:hint="eastAsia" w:ascii="宋体" w:hAnsi="宋体" w:eastAsia="宋体" w:cs="宋体"/>
      <w:color w:val="000000"/>
      <w:sz w:val="16"/>
      <w:szCs w:val="16"/>
      <w:u w:val="none"/>
    </w:rPr>
  </w:style>
  <w:style w:type="character" w:customStyle="1" w:styleId="17">
    <w:name w:val="font11"/>
    <w:basedOn w:val="13"/>
    <w:qFormat/>
    <w:uiPriority w:val="0"/>
    <w:rPr>
      <w:rFonts w:hint="default" w:ascii="Times New Roman" w:hAnsi="Times New Roman" w:cs="Times New Roman"/>
      <w:color w:val="000000"/>
      <w:sz w:val="16"/>
      <w:szCs w:val="16"/>
      <w:u w:val="none"/>
    </w:rPr>
  </w:style>
  <w:style w:type="character" w:customStyle="1" w:styleId="18">
    <w:name w:val="font61"/>
    <w:basedOn w:val="13"/>
    <w:qFormat/>
    <w:uiPriority w:val="0"/>
    <w:rPr>
      <w:rFonts w:hint="eastAsia" w:ascii="宋体" w:hAnsi="宋体" w:eastAsia="宋体" w:cs="宋体"/>
      <w:color w:val="000000"/>
      <w:sz w:val="18"/>
      <w:szCs w:val="18"/>
      <w:u w:val="none"/>
    </w:rPr>
  </w:style>
  <w:style w:type="character" w:customStyle="1" w:styleId="19">
    <w:name w:val="font31"/>
    <w:basedOn w:val="13"/>
    <w:qFormat/>
    <w:uiPriority w:val="0"/>
    <w:rPr>
      <w:rFonts w:hint="default" w:ascii="Times New Roman" w:hAnsi="Times New Roman" w:cs="Times New Roman"/>
      <w:color w:val="000000"/>
      <w:sz w:val="18"/>
      <w:szCs w:val="18"/>
      <w:u w:val="none"/>
    </w:rPr>
  </w:style>
  <w:style w:type="paragraph" w:customStyle="1" w:styleId="20">
    <w:name w:val="明显引用1"/>
    <w:basedOn w:val="1"/>
    <w:next w:val="1"/>
    <w:qFormat/>
    <w:uiPriority w:val="0"/>
    <w:pPr>
      <w:widowControl/>
      <w:wordWrap w:val="0"/>
      <w:spacing w:before="360" w:after="360"/>
      <w:ind w:left="950" w:right="950"/>
      <w:jc w:val="center"/>
    </w:pPr>
    <w:rPr>
      <w:rFonts w:ascii="Calibri" w:hAnsi="Calibri" w:cs="宋体"/>
      <w:i/>
      <w:iCs/>
      <w:kern w:val="0"/>
    </w:rPr>
  </w:style>
  <w:style w:type="paragraph" w:customStyle="1" w:styleId="21">
    <w:name w:val="PlainText"/>
    <w:basedOn w:val="1"/>
    <w:qFormat/>
    <w:uiPriority w:val="0"/>
    <w:pPr>
      <w:spacing w:line="240" w:lineRule="auto"/>
      <w:jc w:val="both"/>
      <w:textAlignment w:val="baseline"/>
    </w:pPr>
    <w:rPr>
      <w:rFonts w:ascii="宋体" w:hAnsi="Courier New" w:eastAsia="宋体" w:cs="Times New Roman"/>
      <w:kern w:val="2"/>
      <w:sz w:val="21"/>
      <w:lang w:val="en-US" w:eastAsia="zh-CN" w:bidi="ar-SA"/>
    </w:rPr>
  </w:style>
  <w:style w:type="character" w:customStyle="1" w:styleId="22">
    <w:name w:val="font01"/>
    <w:basedOn w:val="13"/>
    <w:qFormat/>
    <w:uiPriority w:val="0"/>
    <w:rPr>
      <w:rFonts w:hint="eastAsia" w:ascii="宋体" w:hAnsi="宋体" w:eastAsia="宋体" w:cs="宋体"/>
      <w:color w:val="000000"/>
      <w:sz w:val="16"/>
      <w:szCs w:val="16"/>
      <w:u w:val="none"/>
    </w:rPr>
  </w:style>
  <w:style w:type="character" w:customStyle="1" w:styleId="23">
    <w:name w:val="font41"/>
    <w:basedOn w:val="13"/>
    <w:qFormat/>
    <w:uiPriority w:val="0"/>
    <w:rPr>
      <w:rFonts w:hint="eastAsia" w:ascii="宋体" w:hAnsi="宋体" w:eastAsia="宋体" w:cs="宋体"/>
      <w:color w:val="000000"/>
      <w:sz w:val="16"/>
      <w:szCs w:val="16"/>
      <w:u w:val="none"/>
    </w:rPr>
  </w:style>
  <w:style w:type="paragraph" w:customStyle="1" w:styleId="24">
    <w:name w:val="WPSOffice手动目录 1"/>
    <w:qFormat/>
    <w:uiPriority w:val="0"/>
    <w:pPr>
      <w:ind w:leftChars="0"/>
    </w:pPr>
    <w:rPr>
      <w:rFonts w:ascii="Times New Roman" w:hAnsi="Times New Roman" w:eastAsia="宋体" w:cs="Times New Roman"/>
      <w:sz w:val="20"/>
      <w:szCs w:val="20"/>
    </w:rPr>
  </w:style>
  <w:style w:type="paragraph" w:customStyle="1" w:styleId="25">
    <w:name w:val="WPSOffice手动目录 2"/>
    <w:qFormat/>
    <w:uiPriority w:val="0"/>
    <w:pPr>
      <w:ind w:leftChars="200"/>
    </w:pPr>
    <w:rPr>
      <w:rFonts w:ascii="Times New Roman" w:hAnsi="Times New Roman" w:eastAsia="宋体" w:cs="Times New Roman"/>
      <w:sz w:val="20"/>
      <w:szCs w:val="20"/>
    </w:rPr>
  </w:style>
  <w:style w:type="paragraph" w:customStyle="1" w:styleId="26">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chart" Target="charts/chart6.xml"/><Relationship Id="rId21" Type="http://schemas.openxmlformats.org/officeDocument/2006/relationships/chart" Target="charts/chart5.xml"/><Relationship Id="rId20" Type="http://schemas.openxmlformats.org/officeDocument/2006/relationships/chart" Target="charts/chart4.xml"/><Relationship Id="rId2" Type="http://schemas.openxmlformats.org/officeDocument/2006/relationships/settings" Target="settings.xml"/><Relationship Id="rId19" Type="http://schemas.openxmlformats.org/officeDocument/2006/relationships/chart" Target="charts/chart3.xml"/><Relationship Id="rId18" Type="http://schemas.openxmlformats.org/officeDocument/2006/relationships/chart" Target="charts/chart2.xml"/><Relationship Id="rId17" Type="http://schemas.openxmlformats.org/officeDocument/2006/relationships/chart" Target="charts/chart1.xml"/><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E:\&#26366;&#26690;&#33457;2026&#24180;\2026.1.16-2025&#24180;&#37096;&#38376;&#20915;&#31639;&#12289;&#36164;&#20135;&#24180;&#25253;&#12290;&#36130;&#25253;&#12289;&#20915;&#31639;&#20844;&#24320;\2025&#20915;&#31639;&#20844;&#24320;&#21442;&#32771;2026.8.17\&#20915;&#31639;&#20844;&#24320;&#30011;&#2227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E:\&#26366;&#26690;&#33457;2026&#24180;\2026.1.16-2025&#24180;&#37096;&#38376;&#20915;&#31639;&#12289;&#36164;&#20135;&#24180;&#25253;&#12290;&#36130;&#25253;&#12289;&#20915;&#31639;&#20844;&#24320;\2025&#20915;&#31639;&#20844;&#24320;&#21442;&#32771;2026.8.17\&#20915;&#31639;&#20844;&#24320;&#30011;&#2227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E:\&#26366;&#26690;&#33457;2026&#24180;\2026.1.16-2025&#24180;&#37096;&#38376;&#20915;&#31639;&#12289;&#36164;&#20135;&#24180;&#25253;&#12290;&#36130;&#25253;&#12289;&#20915;&#31639;&#20844;&#24320;\2025&#20915;&#31639;&#20844;&#24320;&#21442;&#32771;2026.8.17\&#20915;&#31639;&#20844;&#24320;&#30011;&#22270;.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E:\&#26366;&#26690;&#33457;2026&#24180;\2026.1.16-2025&#24180;&#37096;&#38376;&#20915;&#31639;&#12289;&#36164;&#20135;&#24180;&#25253;&#12290;&#36130;&#25253;&#12289;&#20915;&#31639;&#20844;&#24320;\2025&#20915;&#31639;&#20844;&#24320;&#21442;&#32771;2026.8.17\&#20915;&#31639;&#20844;&#24320;&#30011;&#22270;.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E:\&#26366;&#26690;&#33457;2026&#24180;\2026.1.16-2025&#24180;&#37096;&#38376;&#20915;&#31639;&#12289;&#36164;&#20135;&#24180;&#25253;&#12290;&#36130;&#25253;&#12289;&#20915;&#31639;&#20844;&#24320;\2025&#20915;&#31639;&#20844;&#24320;&#21442;&#32771;2026.8.17\&#20915;&#31639;&#20844;&#24320;&#30011;&#22270;.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E:\&#26366;&#26690;&#33457;2026&#24180;\2026.1.16-2025&#24180;&#37096;&#38376;&#20915;&#31639;&#12289;&#36164;&#20135;&#24180;&#25253;&#12290;&#36130;&#25253;&#12289;&#20915;&#31639;&#20844;&#24320;\2025&#20915;&#31639;&#20844;&#24320;&#21442;&#32771;2026.8.17\&#20915;&#31639;&#20844;&#24320;&#30011;&#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收、支决算总计变动情况（</a:t>
            </a:r>
            <a:r>
              <a:rPr altLang="en-US"/>
              <a:t>单位：万元）</a:t>
            </a:r>
            <a:endParaRPr altLang="en-US"/>
          </a:p>
        </c:rich>
      </c:tx>
      <c:layout>
        <c:manualLayout>
          <c:xMode val="edge"/>
          <c:yMode val="edge"/>
          <c:x val="0.117828947368421"/>
          <c:y val="0.0277777777777778"/>
        </c:manualLayout>
      </c:layout>
      <c:overlay val="0"/>
      <c:spPr>
        <a:noFill/>
        <a:ln>
          <a:noFill/>
        </a:ln>
        <a:effectLst/>
      </c:spPr>
    </c:title>
    <c:autoTitleDeleted val="0"/>
    <c:plotArea>
      <c:layout/>
      <c:barChart>
        <c:barDir val="col"/>
        <c:grouping val="clustered"/>
        <c:varyColors val="0"/>
        <c:ser>
          <c:idx val="0"/>
          <c:order val="0"/>
          <c:tx>
            <c:strRef>
              <c:f>[决算公开画图.xlsx]Sheet1!$C$7</c:f>
              <c:strCache>
                <c:ptCount val="1"/>
                <c:pt idx="0">
                  <c:v>金额</c:v>
                </c:pt>
              </c:strCache>
            </c:strRef>
          </c:tx>
          <c:spPr>
            <a:solidFill>
              <a:schemeClr val="accent1"/>
            </a:solidFill>
            <a:ln>
              <a:noFill/>
            </a:ln>
            <a:effectLst/>
          </c:spPr>
          <c:invertIfNegative val="0"/>
          <c:dLbls>
            <c:delete val="1"/>
          </c:dLbls>
          <c:cat>
            <c:strRef>
              <c:f>[决算公开画图.xlsx]Sheet1!$B$8:$B$9</c:f>
              <c:strCache>
                <c:ptCount val="2"/>
                <c:pt idx="0">
                  <c:v>2024年度</c:v>
                </c:pt>
                <c:pt idx="1">
                  <c:v>2025年度</c:v>
                </c:pt>
              </c:strCache>
            </c:strRef>
          </c:cat>
          <c:val>
            <c:numRef>
              <c:f>[决算公开画图.xlsx]Sheet1!$C$8:$C$9</c:f>
              <c:numCache>
                <c:formatCode>General</c:formatCode>
                <c:ptCount val="2"/>
                <c:pt idx="0">
                  <c:v>2098.27</c:v>
                </c:pt>
                <c:pt idx="1">
                  <c:v>1943.17</c:v>
                </c:pt>
              </c:numCache>
            </c:numRef>
          </c:val>
        </c:ser>
        <c:dLbls>
          <c:showLegendKey val="0"/>
          <c:showVal val="0"/>
          <c:showCatName val="0"/>
          <c:showSerName val="0"/>
          <c:showPercent val="0"/>
          <c:showBubbleSize val="0"/>
        </c:dLbls>
        <c:gapWidth val="246"/>
        <c:overlap val="-28"/>
        <c:axId val="47014674"/>
        <c:axId val="361199514"/>
      </c:barChart>
      <c:catAx>
        <c:axId val="4701467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61199514"/>
        <c:crosses val="autoZero"/>
        <c:auto val="1"/>
        <c:lblAlgn val="ctr"/>
        <c:lblOffset val="100"/>
        <c:noMultiLvlLbl val="0"/>
      </c:catAx>
      <c:valAx>
        <c:axId val="36119951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01467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baseline="0">
                <a:solidFill>
                  <a:schemeClr val="tx1">
                    <a:lumMod val="75000"/>
                    <a:lumOff val="25000"/>
                  </a:schemeClr>
                </a:solidFill>
                <a:latin typeface="+mn-lt"/>
                <a:ea typeface="+mn-ea"/>
                <a:cs typeface="+mn-cs"/>
              </a:defRPr>
            </a:pPr>
            <a:r>
              <a:rPr b="0"/>
              <a:t>收入决算结构</a:t>
            </a:r>
            <a:r>
              <a:rPr lang="en-US" altLang="zh-CN" b="0"/>
              <a:t>  </a:t>
            </a:r>
            <a:r>
              <a:rPr altLang="en-US" b="0"/>
              <a:t>（单位：万元）</a:t>
            </a:r>
            <a:endParaRPr altLang="en-US" b="0"/>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manualLayout>
                  <c:x val="0.20820218643536"/>
                  <c:y val="0.118022989253991"/>
                </c:manualLayout>
              </c:layout>
              <c:dLblPos val="bestFit"/>
              <c:showLegendKey val="1"/>
              <c:showVal val="1"/>
              <c:showCatName val="1"/>
              <c:showSerName val="0"/>
              <c:showPercent val="0"/>
              <c:showBubbleSize val="0"/>
              <c:extLst>
                <c:ext xmlns:c15="http://schemas.microsoft.com/office/drawing/2012/chart" uri="{CE6537A1-D6FC-4f65-9D91-7224C49458BB}">
                  <c15:layout/>
                </c:ext>
              </c:extLst>
            </c:dLbl>
            <c:dLbl>
              <c:idx val="1"/>
              <c:layout>
                <c:manualLayout>
                  <c:x val="-0.206394180013604"/>
                  <c:y val="-0.165709863523182"/>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[决算公开画图.xlsx]Sheet1!$B$22:$B$23</c:f>
              <c:strCache>
                <c:ptCount val="2"/>
                <c:pt idx="0">
                  <c:v>一般公共预算财政拨款收入</c:v>
                </c:pt>
                <c:pt idx="1">
                  <c:v>其他收入</c:v>
                </c:pt>
              </c:strCache>
            </c:strRef>
          </c:cat>
          <c:val>
            <c:numRef>
              <c:f>[决算公开画图.xlsx]Sheet1!$C$22:$C$23</c:f>
              <c:numCache>
                <c:formatCode>0.00%</c:formatCode>
                <c:ptCount val="2"/>
                <c:pt idx="0">
                  <c:v>0.0466</c:v>
                </c:pt>
                <c:pt idx="1">
                  <c:v>0.9534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ayout>
        <c:manualLayout>
          <c:xMode val="edge"/>
          <c:yMode val="edge"/>
          <c:x val="0.275723684210526"/>
          <c:y val="0.15324074074074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b="0"/>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支出决算结构（单位：万元）</a:t>
            </a:r>
          </a:p>
        </c:rich>
      </c:tx>
      <c:layout>
        <c:manualLayout>
          <c:xMode val="edge"/>
          <c:yMode val="edge"/>
          <c:x val="0.291210129047967"/>
          <c:y val="0.0253568745304282"/>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manualLayout>
                  <c:x val="-0.0244203029476939"/>
                  <c:y val="-0.0253165413669438"/>
                </c:manualLayout>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tx1">
                            <a:lumMod val="75000"/>
                            <a:lumOff val="25000"/>
                          </a:schemeClr>
                        </a:solidFill>
                        <a:latin typeface="+mn-lt"/>
                        <a:ea typeface="+mn-ea"/>
                        <a:cs typeface="+mn-cs"/>
                      </a:defRPr>
                    </a:pPr>
                    <a:r>
                      <a:t>基本支出, </a:t>
                    </a:r>
                    <a:r>
                      <a:rPr lang="en-US" altLang="zh-CN"/>
                      <a:t>42.56</a:t>
                    </a:r>
                    <a:r>
                      <a:t>%</a:t>
                    </a:r>
                    <a:r>
                      <a:rPr lang="en-US" altLang="zh-CN"/>
                      <a:t>         593.98</a:t>
                    </a:r>
                    <a:r>
                      <a:rPr altLang="en-US"/>
                      <a:t>万元</a:t>
                    </a:r>
                    <a:endParaRPr altLang="en-US"/>
                  </a:p>
                </c:rich>
              </c:tx>
              <c:dLblPos val="bestFit"/>
              <c:showLegendKey val="0"/>
              <c:showVal val="1"/>
              <c:showCatName val="1"/>
              <c:showSerName val="0"/>
              <c:showPercent val="0"/>
              <c:showBubbleSize val="0"/>
              <c:extLst>
                <c:ext xmlns:c15="http://schemas.microsoft.com/office/drawing/2012/chart" uri="{CE6537A1-D6FC-4f65-9D91-7224C49458BB}">
                  <c15:layout>
                    <c:manualLayout>
                      <c:w val="0.212557832121613"/>
                      <c:h val="0.219923543962222"/>
                    </c:manualLayout>
                  </c15:layout>
                </c:ext>
              </c:extLst>
            </c:dLbl>
            <c:dLbl>
              <c:idx val="1"/>
              <c:layout>
                <c:manualLayout>
                  <c:x val="-0.101985428187617"/>
                  <c:y val="-0.00465062946184979"/>
                </c:manualLayout>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tx1">
                            <a:lumMod val="75000"/>
                            <a:lumOff val="25000"/>
                          </a:schemeClr>
                        </a:solidFill>
                        <a:latin typeface="+mn-lt"/>
                        <a:ea typeface="+mn-ea"/>
                        <a:cs typeface="+mn-cs"/>
                      </a:defRPr>
                    </a:pPr>
                    <a:r>
                      <a:t>项目支出, </a:t>
                    </a:r>
                    <a:r>
                      <a:rPr lang="en-US" altLang="zh-CN"/>
                      <a:t>57.44</a:t>
                    </a:r>
                    <a:r>
                      <a:t>%</a:t>
                    </a:r>
                    <a:r>
                      <a:rPr lang="en-US" altLang="zh-CN"/>
                      <a:t>  801.81</a:t>
                    </a:r>
                    <a:r>
                      <a:rPr altLang="en-US"/>
                      <a:t>万元</a:t>
                    </a:r>
                    <a:endParaRPr altLang="en-US"/>
                  </a:p>
                </c:rich>
              </c:tx>
              <c:dLblPos val="bestFit"/>
              <c:showLegendKey val="0"/>
              <c:showVal val="1"/>
              <c:showCatName val="1"/>
              <c:showSerName val="0"/>
              <c:showPercent val="0"/>
              <c:showBubbleSize val="0"/>
              <c:extLst>
                <c:ext xmlns:c15="http://schemas.microsoft.com/office/drawing/2012/chart" uri="{CE6537A1-D6FC-4f65-9D91-7224C49458BB}">
                  <c15:layout>
                    <c:manualLayout>
                      <c:w val="0.173430270984798"/>
                      <c:h val="0.203283112210479"/>
                    </c:manualLayout>
                  </c15:layout>
                </c:ext>
              </c:extLst>
            </c:dLbl>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[决算公开画图.xlsx]Sheet1!$B$42:$B$43</c:f>
              <c:strCache>
                <c:ptCount val="2"/>
                <c:pt idx="0">
                  <c:v>基本支出</c:v>
                </c:pt>
                <c:pt idx="1">
                  <c:v>项目支出</c:v>
                </c:pt>
              </c:strCache>
            </c:strRef>
          </c:cat>
          <c:val>
            <c:numRef>
              <c:f>[决算公开画图.xlsx]Sheet1!$C$42:$C$43</c:f>
              <c:numCache>
                <c:formatCode>0.00%</c:formatCode>
                <c:ptCount val="2"/>
                <c:pt idx="0">
                  <c:v>0.3538</c:v>
                </c:pt>
                <c:pt idx="1">
                  <c:v>0.6462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b="1"/>
              <a:t>财政拨款收、支决算总计变动情况（单位：万元）</a:t>
            </a:r>
            <a:endParaRPr b="1"/>
          </a:p>
        </c:rich>
      </c:tx>
      <c:layout>
        <c:manualLayout>
          <c:xMode val="edge"/>
          <c:yMode val="edge"/>
          <c:x val="0.128552631578948"/>
          <c:y val="0.0416666666666667"/>
        </c:manualLayout>
      </c:layout>
      <c:overlay val="0"/>
      <c:spPr>
        <a:noFill/>
        <a:ln>
          <a:noFill/>
        </a:ln>
        <a:effectLst/>
      </c:spPr>
    </c:title>
    <c:autoTitleDeleted val="0"/>
    <c:plotArea>
      <c:layout/>
      <c:barChart>
        <c:barDir val="col"/>
        <c:grouping val="clustered"/>
        <c:varyColors val="0"/>
        <c:ser>
          <c:idx val="0"/>
          <c:order val="0"/>
          <c:tx>
            <c:strRef>
              <c:f>[决算公开画图.xlsx]Sheet1!$C$66</c:f>
              <c:strCache>
                <c:ptCount val="1"/>
                <c:pt idx="0">
                  <c:v>金额</c:v>
                </c:pt>
              </c:strCache>
            </c:strRef>
          </c:tx>
          <c:spPr>
            <a:solidFill>
              <a:schemeClr val="accent1"/>
            </a:solidFill>
            <a:ln>
              <a:noFill/>
            </a:ln>
            <a:effectLst/>
          </c:spPr>
          <c:invertIfNegative val="0"/>
          <c:dLbls>
            <c:delete val="1"/>
          </c:dLbls>
          <c:cat>
            <c:strRef>
              <c:f>[决算公开画图.xlsx]Sheet1!$B$67:$B$68</c:f>
              <c:strCache>
                <c:ptCount val="2"/>
                <c:pt idx="0">
                  <c:v>2024年度</c:v>
                </c:pt>
                <c:pt idx="1">
                  <c:v>2025年度</c:v>
                </c:pt>
              </c:strCache>
            </c:strRef>
          </c:cat>
          <c:val>
            <c:numRef>
              <c:f>[决算公开画图.xlsx]Sheet1!$C$67:$C$68</c:f>
              <c:numCache>
                <c:formatCode>General</c:formatCode>
                <c:ptCount val="2"/>
                <c:pt idx="0">
                  <c:v>73.69</c:v>
                </c:pt>
                <c:pt idx="1">
                  <c:v>83.24</c:v>
                </c:pt>
              </c:numCache>
            </c:numRef>
          </c:val>
        </c:ser>
        <c:dLbls>
          <c:showLegendKey val="0"/>
          <c:showVal val="0"/>
          <c:showCatName val="0"/>
          <c:showSerName val="0"/>
          <c:showPercent val="0"/>
          <c:showBubbleSize val="0"/>
        </c:dLbls>
        <c:gapWidth val="219"/>
        <c:overlap val="-27"/>
        <c:axId val="493769769"/>
        <c:axId val="506093086"/>
      </c:barChart>
      <c:catAx>
        <c:axId val="49376976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506093086"/>
        <c:crosses val="autoZero"/>
        <c:auto val="1"/>
        <c:lblAlgn val="ctr"/>
        <c:lblOffset val="100"/>
        <c:noMultiLvlLbl val="0"/>
      </c:catAx>
      <c:valAx>
        <c:axId val="50609308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49376976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b="1"/>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sz="1400" b="1"/>
              <a:t>财政拨款支出决算总计变动情况（单位：万元）</a:t>
            </a:r>
            <a:endParaRPr lang="en-US" altLang="zh-CN" sz="1400" b="1"/>
          </a:p>
          <a:p>
            <a:pPr defTabSz="914400">
              <a:defRPr lang="zh-CN" sz="1400" b="1" i="0" u="none" strike="noStrike" kern="1200" baseline="0">
                <a:solidFill>
                  <a:schemeClr val="tx1">
                    <a:lumMod val="75000"/>
                    <a:lumOff val="25000"/>
                  </a:schemeClr>
                </a:solidFill>
                <a:latin typeface="+mn-lt"/>
                <a:ea typeface="+mn-ea"/>
                <a:cs typeface="+mn-cs"/>
              </a:defRPr>
            </a:pPr>
            <a:endParaRPr lang="en-US" altLang="zh-CN" sz="1400" b="1"/>
          </a:p>
        </c:rich>
      </c:tx>
      <c:layout/>
      <c:overlay val="0"/>
      <c:spPr>
        <a:noFill/>
        <a:ln>
          <a:noFill/>
        </a:ln>
        <a:effectLst/>
      </c:spPr>
    </c:title>
    <c:autoTitleDeleted val="0"/>
    <c:plotArea>
      <c:layout/>
      <c:barChart>
        <c:barDir val="col"/>
        <c:grouping val="clustered"/>
        <c:varyColors val="0"/>
        <c:ser>
          <c:idx val="0"/>
          <c:order val="0"/>
          <c:tx>
            <c:strRef>
              <c:f>[决算公开画图.xlsx]Sheet1!$C$89</c:f>
              <c:strCache>
                <c:ptCount val="1"/>
                <c:pt idx="0">
                  <c:v>金额</c:v>
                </c:pt>
              </c:strCache>
            </c:strRef>
          </c:tx>
          <c:spPr>
            <a:solidFill>
              <a:schemeClr val="accent1"/>
            </a:solidFill>
            <a:ln>
              <a:noFill/>
            </a:ln>
            <a:effectLst/>
          </c:spPr>
          <c:invertIfNegative val="0"/>
          <c:dLbls>
            <c:delete val="1"/>
          </c:dLbls>
          <c:cat>
            <c:strRef>
              <c:f>[决算公开画图.xlsx]Sheet1!$B$90:$B$91</c:f>
              <c:strCache>
                <c:ptCount val="2"/>
                <c:pt idx="0">
                  <c:v>2024年度</c:v>
                </c:pt>
                <c:pt idx="1">
                  <c:v>2025年度</c:v>
                </c:pt>
              </c:strCache>
            </c:strRef>
          </c:cat>
          <c:val>
            <c:numRef>
              <c:f>[决算公开画图.xlsx]Sheet1!$C$90:$C$91</c:f>
              <c:numCache>
                <c:formatCode>General</c:formatCode>
                <c:ptCount val="2"/>
                <c:pt idx="0">
                  <c:v>57.96</c:v>
                </c:pt>
                <c:pt idx="1">
                  <c:v>83.24</c:v>
                </c:pt>
              </c:numCache>
            </c:numRef>
          </c:val>
        </c:ser>
        <c:dLbls>
          <c:showLegendKey val="0"/>
          <c:showVal val="0"/>
          <c:showCatName val="0"/>
          <c:showSerName val="0"/>
          <c:showPercent val="0"/>
          <c:showBubbleSize val="0"/>
        </c:dLbls>
        <c:gapWidth val="246"/>
        <c:overlap val="-28"/>
        <c:axId val="236483491"/>
        <c:axId val="858184100"/>
      </c:barChart>
      <c:catAx>
        <c:axId val="23648349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858184100"/>
        <c:crosses val="autoZero"/>
        <c:auto val="1"/>
        <c:lblAlgn val="ctr"/>
        <c:lblOffset val="100"/>
        <c:noMultiLvlLbl val="0"/>
      </c:catAx>
      <c:valAx>
        <c:axId val="85818410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23648349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b="1"/>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财政拨款支出决算结构（单位：万元）</a:t>
            </a:r>
          </a:p>
        </c:rich>
      </c:tx>
      <c:layout>
        <c:manualLayout>
          <c:xMode val="edge"/>
          <c:yMode val="edge"/>
          <c:x val="0.150736872227787"/>
          <c:y val="0.0347021399652979"/>
        </c:manualLayout>
      </c:layout>
      <c:overlay val="0"/>
      <c:spPr>
        <a:noFill/>
        <a:ln>
          <a:noFill/>
        </a:ln>
        <a:effectLst/>
      </c:spPr>
    </c:title>
    <c:autoTitleDeleted val="0"/>
    <c:plotArea>
      <c:layout/>
      <c:pieChart>
        <c:varyColors val="1"/>
        <c:ser>
          <c:idx val="0"/>
          <c:order val="0"/>
          <c:tx>
            <c:strRef>
              <c:f>[决算公开画图.xlsx]Sheet1!$B$109</c:f>
              <c:strCache>
                <c:ptCount val="1"/>
                <c:pt idx="0">
                  <c:v>灾害防治及应急管理支出</c:v>
                </c:pt>
              </c:strCache>
            </c:strRef>
          </c:tx>
          <c:spPr/>
          <c:explosion val="0"/>
          <c:dPt>
            <c:idx val="0"/>
            <c:bubble3D val="0"/>
            <c:spPr>
              <a:solidFill>
                <a:schemeClr val="accent1"/>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灾害防治及应急管理支出100%</a:t>
                    </a:r>
                  </a:p>
                </c:rich>
              </c:tx>
              <c:dLblPos val="inEnd"/>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[决算公开画图.xlsx]Sheet1!$C$109</c:f>
              <c:numCache>
                <c:formatCode>0%</c:formatCode>
                <c:ptCount val="1"/>
                <c:pt idx="0">
                  <c:v>1</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Info spid="_x0000_s1027"/>
    <customShpInfo spid="_x0000_s1028"/>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32</Pages>
  <Words>10020</Words>
  <Characters>11853</Characters>
  <TotalTime>57</TotalTime>
  <ScaleCrop>false</ScaleCrop>
  <LinksUpToDate>false</LinksUpToDate>
  <CharactersWithSpaces>12910</CharactersWithSpaces>
  <Application>WPS Office_11.1.0.12980_F1E327BC-269C-435d-A152-05C5408002CA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2026-05-31T02:05:00Z</dcterms:created>
  <dc:creator>admin</dc:creator>
  <cp:lastModifiedBy>资兴市消防救援大队</cp:lastModifiedBy>
  <cp:lastPrinted>2026-08-31T09:14:00Z</cp:lastPrinted>
  <dcterms:modified xsi:type="dcterms:W3CDTF">2026-09-01T00:48:07Z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2026-05-25T10:06:10Z</vt:filetime>
  </property>
  <property fmtid="{D5CDD505-2E9C-101B-9397-08002B2CF9AE}" pid="4" name="KSOTemplateDocerSaveRecord">
    <vt:lpwstr>eyJoZGlkIjoiNGRmMDE0YmUxM2EyNWRhZDIxYjlmMzgzN2IxNzFlZjciLCJ1c2VySWQiOiIzOTg1NzUzMzgifQ==</vt:lpwstr>
  </property>
  <property fmtid="{D5CDD505-2E9C-101B-9397-08002B2CF9AE}" pid="5" name="KSOProductBuildVer">
    <vt:lpwstr>2052-11.1.0.12980</vt:lpwstr>
  </property>
  <property fmtid="{D5CDD505-2E9C-101B-9397-08002B2CF9AE}" pid="6" name="ICV">
    <vt:lpwstr>CAB0A7A28B294258BD45A56DB963A65A_13</vt:lpwstr>
  </property>
</Properties>
</file>