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3" w:lineRule="auto"/>
        <w:rPr>
          <w:rFonts w:ascii="Arial"/>
          <w:sz w:val="21"/>
        </w:rPr>
      </w:pPr>
      <w:bookmarkStart w:id="0" w:name="_GoBack"/>
      <w:bookmarkEnd w:id="0"/>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jc w:val="center"/>
        <w:rPr>
          <w:rFonts w:ascii="Arial"/>
          <w:sz w:val="21"/>
        </w:rPr>
      </w:pPr>
    </w:p>
    <w:p>
      <w:pPr>
        <w:spacing w:line="244" w:lineRule="auto"/>
        <w:jc w:val="center"/>
        <w:rPr>
          <w:rFonts w:ascii="Arial"/>
          <w:sz w:val="21"/>
        </w:rPr>
      </w:pPr>
    </w:p>
    <w:p>
      <w:pPr>
        <w:spacing w:line="244" w:lineRule="auto"/>
        <w:jc w:val="center"/>
        <w:rPr>
          <w:rFonts w:ascii="Arial"/>
          <w:sz w:val="21"/>
        </w:rPr>
      </w:pPr>
    </w:p>
    <w:p>
      <w:pPr>
        <w:spacing w:line="244" w:lineRule="auto"/>
        <w:jc w:val="center"/>
        <w:rPr>
          <w:rFonts w:ascii="Arial"/>
          <w:sz w:val="21"/>
        </w:rPr>
      </w:pPr>
    </w:p>
    <w:p>
      <w:pPr>
        <w:spacing w:line="244" w:lineRule="auto"/>
        <w:jc w:val="center"/>
        <w:rPr>
          <w:rFonts w:ascii="Arial"/>
          <w:sz w:val="21"/>
        </w:rPr>
      </w:pPr>
    </w:p>
    <w:p>
      <w:pPr>
        <w:spacing w:line="244" w:lineRule="auto"/>
        <w:jc w:val="center"/>
        <w:rPr>
          <w:rFonts w:ascii="Arial"/>
          <w:sz w:val="21"/>
        </w:rPr>
      </w:pPr>
    </w:p>
    <w:p>
      <w:pPr>
        <w:spacing w:line="244" w:lineRule="auto"/>
        <w:ind w:left="-1260" w:leftChars="-600" w:firstLine="1260" w:firstLineChars="600"/>
        <w:jc w:val="center"/>
        <w:rPr>
          <w:rFonts w:ascii="Arial"/>
          <w:sz w:val="21"/>
        </w:rPr>
      </w:pPr>
    </w:p>
    <w:p>
      <w:pPr>
        <w:spacing w:before="279" w:line="195" w:lineRule="auto"/>
        <w:ind w:left="0" w:leftChars="0" w:right="725" w:rightChars="0" w:firstLine="0" w:firstLineChars="0"/>
        <w:jc w:val="center"/>
        <w:rPr>
          <w:rFonts w:hint="eastAsia" w:ascii="Times New Roman" w:hAnsi="Times New Roman" w:eastAsia="方正小标宋_GBK" w:cs="Times New Roman"/>
          <w:color w:val="auto"/>
          <w:spacing w:val="-8"/>
          <w:sz w:val="72"/>
          <w:szCs w:val="72"/>
          <w:highlight w:val="none"/>
          <w:lang w:val="en-US" w:eastAsia="zh-CN" w:bidi="ar-SA"/>
        </w:rPr>
      </w:pPr>
      <w:r>
        <w:rPr>
          <w:rFonts w:hint="eastAsia" w:ascii="Times New Roman" w:hAnsi="Times New Roman" w:eastAsia="方正小标宋_GBK" w:cs="Times New Roman"/>
          <w:color w:val="auto"/>
          <w:spacing w:val="-8"/>
          <w:sz w:val="72"/>
          <w:szCs w:val="72"/>
          <w:highlight w:val="none"/>
          <w:lang w:val="en-US" w:eastAsia="zh-CN" w:bidi="ar-SA"/>
        </w:rPr>
        <w:t>郴州市消防救援支队本级202</w:t>
      </w:r>
      <w:r>
        <w:rPr>
          <w:rFonts w:hint="default" w:ascii="Times New Roman" w:hAnsi="Times New Roman" w:eastAsia="方正小标宋_GBK" w:cs="Times New Roman"/>
          <w:color w:val="auto"/>
          <w:spacing w:val="-8"/>
          <w:sz w:val="72"/>
          <w:szCs w:val="72"/>
          <w:highlight w:val="none"/>
          <w:lang w:val="en" w:eastAsia="zh-CN" w:bidi="ar-SA"/>
        </w:rPr>
        <w:t>5</w:t>
      </w:r>
      <w:r>
        <w:rPr>
          <w:rFonts w:hint="eastAsia" w:ascii="Times New Roman" w:hAnsi="Times New Roman" w:eastAsia="方正小标宋_GBK" w:cs="Times New Roman"/>
          <w:color w:val="auto"/>
          <w:spacing w:val="-8"/>
          <w:sz w:val="72"/>
          <w:szCs w:val="72"/>
          <w:highlight w:val="none"/>
          <w:lang w:val="en-US" w:eastAsia="zh-CN" w:bidi="ar-SA"/>
        </w:rPr>
        <w:t>年经费决算</w:t>
      </w: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before="113" w:line="224" w:lineRule="auto"/>
        <w:ind w:left="3169"/>
        <w:rPr>
          <w:rFonts w:ascii="隶书" w:hAnsi="隶书" w:eastAsia="隶书" w:cs="隶书"/>
          <w:sz w:val="35"/>
          <w:szCs w:val="35"/>
        </w:rPr>
      </w:pPr>
      <w:r>
        <w:rPr>
          <w:rFonts w:hint="eastAsia" w:ascii="方正小标宋简体" w:hAnsi="方正小标宋简体" w:eastAsia="方正小标宋简体" w:cs="方正小标宋简体"/>
          <w:b/>
          <w:bCs/>
          <w:spacing w:val="5"/>
          <w:sz w:val="35"/>
          <w:szCs w:val="35"/>
        </w:rPr>
        <w:t>二〇二</w:t>
      </w:r>
      <w:r>
        <w:rPr>
          <w:rFonts w:hint="eastAsia" w:ascii="方正小标宋简体" w:hAnsi="方正小标宋简体" w:eastAsia="方正小标宋简体" w:cs="方正小标宋简体"/>
          <w:b/>
          <w:bCs/>
          <w:spacing w:val="5"/>
          <w:sz w:val="35"/>
          <w:szCs w:val="35"/>
          <w:lang w:eastAsia="zh-CN"/>
        </w:rPr>
        <w:t>六</w:t>
      </w:r>
      <w:r>
        <w:rPr>
          <w:rFonts w:hint="eastAsia" w:ascii="方正小标宋简体" w:hAnsi="方正小标宋简体" w:eastAsia="方正小标宋简体" w:cs="方正小标宋简体"/>
          <w:b/>
          <w:bCs/>
          <w:spacing w:val="5"/>
          <w:sz w:val="35"/>
          <w:szCs w:val="35"/>
        </w:rPr>
        <w:t>年</w:t>
      </w:r>
      <w:r>
        <w:rPr>
          <w:rFonts w:hint="eastAsia" w:ascii="方正小标宋简体" w:hAnsi="方正小标宋简体" w:eastAsia="方正小标宋简体" w:cs="方正小标宋简体"/>
          <w:b/>
          <w:bCs/>
          <w:spacing w:val="5"/>
          <w:sz w:val="35"/>
          <w:szCs w:val="35"/>
          <w:lang w:eastAsia="zh-CN"/>
        </w:rPr>
        <w:t>八</w:t>
      </w:r>
      <w:r>
        <w:rPr>
          <w:rFonts w:hint="eastAsia" w:ascii="方正小标宋简体" w:hAnsi="方正小标宋简体" w:eastAsia="方正小标宋简体" w:cs="方正小标宋简体"/>
          <w:b/>
          <w:bCs/>
          <w:spacing w:val="5"/>
          <w:sz w:val="35"/>
          <w:szCs w:val="35"/>
        </w:rPr>
        <w:t>月</w:t>
      </w:r>
    </w:p>
    <w:p>
      <w:pPr>
        <w:sectPr>
          <w:footerReference r:id="rId5" w:type="default"/>
          <w:pgSz w:w="11906" w:h="16839"/>
          <w:pgMar w:top="1431" w:right="1670" w:bottom="0" w:left="1616" w:header="0" w:footer="567" w:gutter="0"/>
          <w:pgNumType w:fmt="decimal"/>
          <w:cols w:space="720" w:num="1"/>
        </w:sectPr>
      </w:pPr>
    </w:p>
    <w:p>
      <w:pPr>
        <w:spacing w:before="0" w:beforeLines="0" w:after="0" w:afterLines="0" w:line="240" w:lineRule="auto"/>
        <w:ind w:left="0" w:leftChars="0" w:right="0" w:rightChars="0" w:firstLine="0" w:firstLineChars="0"/>
        <w:jc w:val="center"/>
        <w:rPr>
          <w:rFonts w:ascii="Arial"/>
          <w:sz w:val="21"/>
        </w:rPr>
      </w:pPr>
      <w:r>
        <w:rPr>
          <w:rFonts w:hint="eastAsia" w:ascii="方正楷体_GBK" w:hAnsi="方正楷体_GBK" w:eastAsia="方正楷体_GBK" w:cs="方正楷体_GBK"/>
          <w:sz w:val="52"/>
          <w:szCs w:val="52"/>
          <w:lang w:val="en-US" w:eastAsia="en-US" w:bidi="ar-SA"/>
        </w:rPr>
        <w:t>目录</w:t>
      </w:r>
    </w:p>
    <w:p>
      <w:pPr>
        <w:keepNext w:val="0"/>
        <w:keepLines w:val="0"/>
        <w:pageBreakBefore w:val="0"/>
        <w:widowControl w:val="0"/>
        <w:tabs>
          <w:tab w:val="left" w:pos="3738"/>
        </w:tabs>
        <w:kinsoku/>
        <w:wordWrap/>
        <w:overflowPunct/>
        <w:topLinePunct w:val="0"/>
        <w:autoSpaceDE w:val="0"/>
        <w:autoSpaceDN w:val="0"/>
        <w:bidi w:val="0"/>
        <w:adjustRightInd/>
        <w:snapToGrid/>
        <w:spacing w:line="240" w:lineRule="auto"/>
        <w:jc w:val="left"/>
        <w:textAlignment w:val="auto"/>
        <w:rPr>
          <w:rFonts w:hint="eastAsia" w:ascii="方正黑体_GBK" w:hAnsi="方正黑体_GBK" w:eastAsia="方正黑体_GBK" w:cs="方正黑体_GBK"/>
          <w:snapToGrid/>
          <w:kern w:val="0"/>
          <w:sz w:val="36"/>
          <w:szCs w:val="22"/>
          <w:lang w:val="zh-CN" w:eastAsia="zh-CN" w:bidi="zh-CN"/>
        </w:rPr>
      </w:pPr>
      <w:r>
        <w:rPr>
          <w:rFonts w:hint="eastAsia" w:ascii="方正黑体_GBK" w:hAnsi="方正黑体_GBK" w:eastAsia="方正黑体_GBK" w:cs="方正黑体_GBK"/>
          <w:snapToGrid/>
          <w:kern w:val="0"/>
          <w:sz w:val="36"/>
          <w:szCs w:val="22"/>
          <w:lang w:val="zh-CN" w:eastAsia="zh-CN" w:bidi="zh-CN"/>
        </w:rPr>
        <w:t>第一部分</w:t>
      </w:r>
      <w:r>
        <w:rPr>
          <w:rFonts w:hint="eastAsia" w:ascii="方正黑体_GBK" w:hAnsi="方正黑体_GBK" w:eastAsia="方正黑体_GBK" w:cs="方正黑体_GBK"/>
          <w:snapToGrid/>
          <w:kern w:val="0"/>
          <w:sz w:val="36"/>
          <w:szCs w:val="22"/>
          <w:lang w:val="en-US" w:eastAsia="zh-CN" w:bidi="zh-CN"/>
        </w:rPr>
        <w:t xml:space="preserve">  </w:t>
      </w:r>
      <w:r>
        <w:rPr>
          <w:rFonts w:hint="eastAsia" w:ascii="方正黑体_GBK" w:hAnsi="方正黑体_GBK" w:eastAsia="方正黑体_GBK" w:cs="方正黑体_GBK"/>
          <w:snapToGrid/>
          <w:kern w:val="0"/>
          <w:sz w:val="36"/>
          <w:szCs w:val="22"/>
          <w:lang w:val="zh-CN" w:eastAsia="zh-CN" w:bidi="zh-CN"/>
        </w:rPr>
        <w:t>郴州市消防救援支队本级概况</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一、</w:t>
      </w:r>
      <w:r>
        <w:rPr>
          <w:rFonts w:hint="eastAsia" w:ascii="方正仿宋_GBK" w:hAnsi="方正仿宋_GBK" w:eastAsia="方正仿宋_GBK" w:cs="方正仿宋_GBK"/>
          <w:snapToGrid/>
          <w:kern w:val="0"/>
          <w:lang w:eastAsia="zh-CN"/>
        </w:rPr>
        <w:t>单位</w:t>
      </w:r>
      <w:r>
        <w:rPr>
          <w:rFonts w:hint="eastAsia" w:ascii="方正仿宋_GBK" w:hAnsi="方正仿宋_GBK" w:eastAsia="方正仿宋_GBK" w:cs="方正仿宋_GBK"/>
          <w:snapToGrid/>
          <w:kern w:val="0"/>
        </w:rPr>
        <w:t>职责</w:t>
      </w:r>
    </w:p>
    <w:p>
      <w:pPr>
        <w:pStyle w:val="6"/>
        <w:keepNext w:val="0"/>
        <w:keepLines w:val="0"/>
        <w:pageBreakBefore w:val="0"/>
        <w:widowControl w:val="0"/>
        <w:kinsoku/>
        <w:wordWrap/>
        <w:overflowPunct/>
        <w:topLinePunct w:val="0"/>
        <w:autoSpaceDE w:val="0"/>
        <w:autoSpaceDN w:val="0"/>
        <w:bidi w:val="0"/>
        <w:adjustRightInd/>
        <w:snapToGrid/>
        <w:spacing w:before="186" w:line="36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rPr>
        <w:t>二、机构设置</w:t>
      </w:r>
    </w:p>
    <w:p>
      <w:pPr>
        <w:keepNext w:val="0"/>
        <w:keepLines w:val="0"/>
        <w:pageBreakBefore w:val="0"/>
        <w:widowControl w:val="0"/>
        <w:tabs>
          <w:tab w:val="left" w:pos="3738"/>
        </w:tabs>
        <w:kinsoku/>
        <w:wordWrap/>
        <w:overflowPunct/>
        <w:topLinePunct w:val="0"/>
        <w:autoSpaceDE w:val="0"/>
        <w:autoSpaceDN w:val="0"/>
        <w:bidi w:val="0"/>
        <w:adjustRightInd/>
        <w:snapToGrid/>
        <w:spacing w:line="240" w:lineRule="auto"/>
        <w:jc w:val="left"/>
        <w:textAlignment w:val="auto"/>
        <w:rPr>
          <w:rFonts w:hint="eastAsia" w:ascii="方正黑体_GBK" w:hAnsi="方正黑体_GBK" w:eastAsia="方正黑体_GBK" w:cs="方正黑体_GBK"/>
          <w:snapToGrid/>
          <w:kern w:val="0"/>
          <w:sz w:val="36"/>
          <w:szCs w:val="22"/>
          <w:lang w:val="zh-CN" w:eastAsia="zh-CN" w:bidi="zh-CN"/>
        </w:rPr>
      </w:pPr>
      <w:r>
        <w:rPr>
          <w:rFonts w:hint="eastAsia" w:ascii="方正黑体_GBK" w:hAnsi="方正黑体_GBK" w:eastAsia="方正黑体_GBK" w:cs="方正黑体_GBK"/>
          <w:snapToGrid/>
          <w:kern w:val="0"/>
          <w:sz w:val="36"/>
          <w:szCs w:val="22"/>
          <w:lang w:val="zh-CN" w:eastAsia="zh-CN" w:bidi="zh-CN"/>
        </w:rPr>
        <w:t>第二部分</w:t>
      </w:r>
      <w:r>
        <w:rPr>
          <w:rFonts w:hint="eastAsia" w:ascii="方正黑体_GBK" w:hAnsi="方正黑体_GBK" w:eastAsia="方正黑体_GBK" w:cs="方正黑体_GBK"/>
          <w:snapToGrid/>
          <w:kern w:val="0"/>
          <w:sz w:val="36"/>
          <w:szCs w:val="22"/>
          <w:lang w:val="en-US" w:eastAsia="zh-CN" w:bidi="zh-CN"/>
        </w:rPr>
        <w:t xml:space="preserve"> 郴州市消防救援支队本级</w:t>
      </w:r>
      <w:r>
        <w:rPr>
          <w:rFonts w:hint="eastAsia" w:ascii="方正黑体_GBK" w:hAnsi="方正黑体_GBK" w:eastAsia="方正黑体_GBK" w:cs="方正黑体_GBK"/>
          <w:snapToGrid/>
          <w:kern w:val="0"/>
          <w:sz w:val="36"/>
          <w:szCs w:val="22"/>
          <w:lang w:val="zh-CN" w:eastAsia="zh-CN" w:bidi="zh-CN"/>
        </w:rPr>
        <w:t>202</w:t>
      </w:r>
      <w:r>
        <w:rPr>
          <w:rFonts w:hint="eastAsia" w:ascii="方正黑体_GBK" w:hAnsi="方正黑体_GBK" w:eastAsia="方正黑体_GBK" w:cs="方正黑体_GBK"/>
          <w:snapToGrid/>
          <w:kern w:val="0"/>
          <w:sz w:val="36"/>
          <w:szCs w:val="22"/>
          <w:lang w:val="en-US" w:eastAsia="zh-CN" w:bidi="zh-CN"/>
        </w:rPr>
        <w:t>5</w:t>
      </w:r>
      <w:r>
        <w:rPr>
          <w:rFonts w:hint="eastAsia" w:ascii="方正黑体_GBK" w:hAnsi="方正黑体_GBK" w:eastAsia="方正黑体_GBK" w:cs="方正黑体_GBK"/>
          <w:snapToGrid/>
          <w:kern w:val="0"/>
          <w:sz w:val="36"/>
          <w:szCs w:val="22"/>
          <w:lang w:val="zh-CN" w:eastAsia="zh-CN" w:bidi="zh-CN"/>
        </w:rPr>
        <w:t>年度决算表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一、收入支出决算总表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二、收入决算表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三、支出决算表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四、财政拨款收入支出决算总表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五、一般公共预算财政拨款支出决算表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六、一般公共预算财政拨款基本支出决算明细表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七、政府性基金预算财政拨款收入支出决算表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八、国有资本经营预算财政拨款支出决算表</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rPr>
        <w:t>九、财政拨款“三公</w:t>
      </w:r>
      <w:r>
        <w:rPr>
          <w:rFonts w:hint="default" w:ascii="方正仿宋_GBK" w:hAnsi="方正仿宋_GBK" w:eastAsia="方正仿宋_GBK" w:cs="方正仿宋_GBK"/>
          <w:snapToGrid/>
          <w:kern w:val="0"/>
          <w:lang w:val="en"/>
        </w:rPr>
        <w:t>”</w:t>
      </w:r>
      <w:r>
        <w:rPr>
          <w:rFonts w:hint="eastAsia" w:ascii="方正仿宋_GBK" w:hAnsi="方正仿宋_GBK" w:eastAsia="方正仿宋_GBK" w:cs="方正仿宋_GBK"/>
          <w:snapToGrid/>
          <w:kern w:val="0"/>
        </w:rPr>
        <w:t>经费支出决算表</w:t>
      </w:r>
    </w:p>
    <w:p>
      <w:pPr>
        <w:keepNext w:val="0"/>
        <w:keepLines w:val="0"/>
        <w:pageBreakBefore w:val="0"/>
        <w:wordWrap/>
        <w:overflowPunct/>
        <w:topLinePunct w:val="0"/>
        <w:autoSpaceDE w:val="0"/>
        <w:autoSpaceDN w:val="0"/>
        <w:bidi w:val="0"/>
        <w:spacing w:line="240" w:lineRule="auto"/>
        <w:rPr>
          <w:rFonts w:ascii="Arial"/>
          <w:sz w:val="21"/>
        </w:rPr>
      </w:pPr>
    </w:p>
    <w:p>
      <w:pPr>
        <w:keepNext w:val="0"/>
        <w:keepLines w:val="0"/>
        <w:pageBreakBefore w:val="0"/>
        <w:widowControl w:val="0"/>
        <w:tabs>
          <w:tab w:val="left" w:pos="3738"/>
        </w:tabs>
        <w:kinsoku/>
        <w:wordWrap/>
        <w:overflowPunct/>
        <w:topLinePunct w:val="0"/>
        <w:autoSpaceDE w:val="0"/>
        <w:autoSpaceDN w:val="0"/>
        <w:bidi w:val="0"/>
        <w:adjustRightInd/>
        <w:snapToGrid/>
        <w:spacing w:line="240" w:lineRule="auto"/>
        <w:jc w:val="left"/>
        <w:textAlignment w:val="auto"/>
        <w:rPr>
          <w:rFonts w:hint="eastAsia" w:ascii="方正黑体_GBK" w:hAnsi="方正黑体_GBK" w:eastAsia="方正黑体_GBK" w:cs="方正黑体_GBK"/>
          <w:snapToGrid/>
          <w:kern w:val="0"/>
          <w:sz w:val="36"/>
          <w:szCs w:val="22"/>
          <w:lang w:val="zh-CN" w:eastAsia="zh-CN" w:bidi="zh-CN"/>
        </w:rPr>
      </w:pPr>
      <w:r>
        <w:rPr>
          <w:rFonts w:hint="eastAsia" w:ascii="方正黑体_GBK" w:hAnsi="方正黑体_GBK" w:eastAsia="方正黑体_GBK" w:cs="方正黑体_GBK"/>
          <w:snapToGrid/>
          <w:kern w:val="0"/>
          <w:sz w:val="36"/>
          <w:szCs w:val="22"/>
          <w:lang w:val="zh-CN" w:eastAsia="zh-CN" w:bidi="zh-CN"/>
        </w:rPr>
        <w:t>第三部分</w:t>
      </w:r>
      <w:r>
        <w:rPr>
          <w:rFonts w:hint="eastAsia" w:ascii="方正黑体_GBK" w:hAnsi="方正黑体_GBK" w:eastAsia="方正黑体_GBK" w:cs="方正黑体_GBK"/>
          <w:snapToGrid/>
          <w:kern w:val="0"/>
          <w:sz w:val="36"/>
          <w:szCs w:val="22"/>
          <w:lang w:val="en-US" w:eastAsia="zh-CN" w:bidi="zh-CN"/>
        </w:rPr>
        <w:t xml:space="preserve"> 郴州市消防救援支队本级</w:t>
      </w:r>
      <w:r>
        <w:rPr>
          <w:rFonts w:hint="eastAsia" w:ascii="方正黑体_GBK" w:hAnsi="方正黑体_GBK" w:eastAsia="方正黑体_GBK" w:cs="方正黑体_GBK"/>
          <w:snapToGrid/>
          <w:kern w:val="0"/>
          <w:sz w:val="36"/>
          <w:szCs w:val="22"/>
          <w:lang w:val="zh-CN" w:eastAsia="zh-CN" w:bidi="zh-CN"/>
        </w:rPr>
        <w:t>202</w:t>
      </w:r>
      <w:r>
        <w:rPr>
          <w:rFonts w:hint="eastAsia" w:ascii="方正黑体_GBK" w:hAnsi="方正黑体_GBK" w:eastAsia="方正黑体_GBK" w:cs="方正黑体_GBK"/>
          <w:snapToGrid/>
          <w:kern w:val="0"/>
          <w:sz w:val="36"/>
          <w:szCs w:val="22"/>
          <w:lang w:val="en-US" w:eastAsia="zh-CN" w:bidi="zh-CN"/>
        </w:rPr>
        <w:t>5</w:t>
      </w:r>
      <w:r>
        <w:rPr>
          <w:rFonts w:hint="eastAsia" w:ascii="方正黑体_GBK" w:hAnsi="方正黑体_GBK" w:eastAsia="方正黑体_GBK" w:cs="方正黑体_GBK"/>
          <w:snapToGrid/>
          <w:kern w:val="0"/>
          <w:sz w:val="36"/>
          <w:szCs w:val="22"/>
          <w:lang w:val="zh-CN" w:eastAsia="zh-CN" w:bidi="zh-CN"/>
        </w:rPr>
        <w:t>年度决算情况说明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一、收入支出决算总体情况说明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二、收入决算情况说明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三、支出决算情况说明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四、财政拨款收入支出决算总体情况说明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sectPr>
          <w:footerReference r:id="rId6" w:type="default"/>
          <w:pgSz w:w="11906" w:h="16839"/>
          <w:pgMar w:top="1431" w:right="1785" w:bottom="1157" w:left="1785" w:header="567" w:footer="567" w:gutter="0"/>
          <w:pgNumType w:fmt="decimal"/>
          <w:cols w:space="720" w:num="1"/>
        </w:sectPr>
      </w:pPr>
      <w:r>
        <w:rPr>
          <w:rFonts w:hint="eastAsia" w:ascii="方正仿宋_GBK" w:hAnsi="方正仿宋_GBK" w:eastAsia="方正仿宋_GBK" w:cs="方正仿宋_GBK"/>
          <w:snapToGrid/>
          <w:kern w:val="0"/>
          <w:lang w:val="zh-CN" w:eastAsia="zh-CN"/>
        </w:rPr>
        <w:t>五、一般公共预算财政拨款支出决算情况说明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六、一般公共预算财政拨款基本支出决算情况说明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七、一般公共预算财政拨款“三公”经费支出决算情况说明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八、一般公共预算财政拨款机关运行经费支出说明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eastAsia" w:ascii="方正仿宋_GBK" w:hAnsi="方正仿宋_GBK" w:eastAsia="方正仿宋_GBK" w:cs="方正仿宋_GBK"/>
          <w:snapToGrid/>
          <w:kern w:val="0"/>
          <w:lang w:val="zh-CN" w:eastAsia="zh-CN"/>
        </w:rPr>
      </w:pPr>
      <w:r>
        <w:rPr>
          <w:rFonts w:hint="eastAsia" w:ascii="方正仿宋_GBK" w:hAnsi="方正仿宋_GBK" w:eastAsia="方正仿宋_GBK" w:cs="方正仿宋_GBK"/>
          <w:snapToGrid/>
          <w:kern w:val="0"/>
          <w:lang w:val="zh-CN" w:eastAsia="zh-CN"/>
        </w:rPr>
        <w:t>九、政府采购支出说明</w:t>
      </w:r>
    </w:p>
    <w:p>
      <w:pPr>
        <w:pStyle w:val="6"/>
        <w:keepNext w:val="0"/>
        <w:keepLines w:val="0"/>
        <w:pageBreakBefore w:val="0"/>
        <w:widowControl w:val="0"/>
        <w:kinsoku/>
        <w:wordWrap/>
        <w:overflowPunct/>
        <w:topLinePunct w:val="0"/>
        <w:autoSpaceDE w:val="0"/>
        <w:autoSpaceDN w:val="0"/>
        <w:bidi w:val="0"/>
        <w:adjustRightInd/>
        <w:snapToGrid/>
        <w:spacing w:before="186" w:line="240" w:lineRule="auto"/>
        <w:jc w:val="left"/>
        <w:textAlignment w:val="auto"/>
        <w:rPr>
          <w:rFonts w:hint="default" w:ascii="方正仿宋_GBK" w:hAnsi="方正仿宋_GBK" w:eastAsia="方正仿宋_GBK" w:cs="方正仿宋_GBK"/>
          <w:snapToGrid/>
          <w:kern w:val="0"/>
          <w:lang w:val="en" w:eastAsia="zh-CN"/>
        </w:rPr>
      </w:pPr>
      <w:r>
        <w:rPr>
          <w:rFonts w:hint="eastAsia" w:ascii="方正仿宋_GBK" w:hAnsi="方正仿宋_GBK" w:eastAsia="方正仿宋_GBK" w:cs="方正仿宋_GBK"/>
          <w:snapToGrid/>
          <w:kern w:val="0"/>
          <w:lang w:val="zh-CN" w:eastAsia="zh-CN"/>
        </w:rPr>
        <w:t>十、国有资产占用情况说明</w:t>
      </w:r>
    </w:p>
    <w:p>
      <w:pPr>
        <w:pStyle w:val="6"/>
        <w:keepNext w:val="0"/>
        <w:keepLines w:val="0"/>
        <w:pageBreakBefore w:val="0"/>
        <w:widowControl w:val="0"/>
        <w:kinsoku/>
        <w:wordWrap/>
        <w:overflowPunct/>
        <w:topLinePunct w:val="0"/>
        <w:autoSpaceDE w:val="0"/>
        <w:autoSpaceDN w:val="0"/>
        <w:bidi w:val="0"/>
        <w:adjustRightInd/>
        <w:snapToGrid/>
        <w:spacing w:before="186" w:line="360" w:lineRule="auto"/>
        <w:jc w:val="left"/>
        <w:textAlignment w:val="auto"/>
        <w:rPr>
          <w:rFonts w:hint="eastAsia" w:ascii="方正仿宋_GBK" w:hAnsi="方正仿宋_GBK" w:eastAsia="方正仿宋_GBK" w:cs="方正仿宋_GBK"/>
          <w:snapToGrid/>
          <w:kern w:val="0"/>
        </w:rPr>
      </w:pPr>
      <w:r>
        <w:rPr>
          <w:rFonts w:hint="eastAsia" w:ascii="方正仿宋_GBK" w:hAnsi="方正仿宋_GBK" w:eastAsia="方正仿宋_GBK" w:cs="方正仿宋_GBK"/>
          <w:snapToGrid/>
          <w:kern w:val="0"/>
          <w:lang w:val="zh-CN" w:eastAsia="zh-CN"/>
        </w:rPr>
        <w:t>十一、关于</w:t>
      </w:r>
      <w:r>
        <w:rPr>
          <w:rFonts w:hint="eastAsia" w:ascii="方正仿宋_GBK" w:hAnsi="方正仿宋_GBK" w:eastAsia="方正仿宋_GBK" w:cs="方正仿宋_GBK"/>
          <w:snapToGrid/>
          <w:kern w:val="0"/>
          <w:lang w:val="en-US" w:eastAsia="zh-CN"/>
        </w:rPr>
        <w:t>2025年度</w:t>
      </w:r>
      <w:r>
        <w:rPr>
          <w:rFonts w:hint="eastAsia" w:ascii="方正仿宋_GBK" w:hAnsi="方正仿宋_GBK" w:eastAsia="方正仿宋_GBK" w:cs="方正仿宋_GBK"/>
          <w:snapToGrid/>
          <w:kern w:val="0"/>
          <w:lang w:val="zh-CN" w:eastAsia="zh-CN"/>
        </w:rPr>
        <w:t>绩效评价情况的说明</w:t>
      </w:r>
    </w:p>
    <w:p>
      <w:pPr>
        <w:keepNext w:val="0"/>
        <w:keepLines w:val="0"/>
        <w:pageBreakBefore w:val="0"/>
        <w:widowControl w:val="0"/>
        <w:tabs>
          <w:tab w:val="left" w:pos="3738"/>
        </w:tabs>
        <w:kinsoku/>
        <w:wordWrap/>
        <w:overflowPunct/>
        <w:topLinePunct w:val="0"/>
        <w:autoSpaceDE w:val="0"/>
        <w:autoSpaceDN w:val="0"/>
        <w:bidi w:val="0"/>
        <w:adjustRightInd/>
        <w:snapToGrid/>
        <w:spacing w:line="360" w:lineRule="auto"/>
        <w:jc w:val="left"/>
        <w:textAlignment w:val="auto"/>
        <w:rPr>
          <w:rFonts w:hint="eastAsia" w:ascii="方正黑体_GBK" w:hAnsi="方正黑体_GBK" w:eastAsia="方正黑体_GBK" w:cs="方正黑体_GBK"/>
          <w:snapToGrid/>
          <w:kern w:val="0"/>
          <w:sz w:val="36"/>
          <w:szCs w:val="22"/>
          <w:lang w:val="zh-CN" w:eastAsia="zh-CN" w:bidi="zh-CN"/>
        </w:rPr>
      </w:pPr>
      <w:r>
        <w:rPr>
          <w:rFonts w:hint="eastAsia" w:ascii="方正黑体_GBK" w:hAnsi="方正黑体_GBK" w:eastAsia="方正黑体_GBK" w:cs="方正黑体_GBK"/>
          <w:snapToGrid/>
          <w:kern w:val="0"/>
          <w:sz w:val="36"/>
          <w:szCs w:val="22"/>
          <w:lang w:val="zh-CN" w:eastAsia="zh-CN" w:bidi="zh-CN"/>
        </w:rPr>
        <w:t>第四部分</w:t>
      </w:r>
      <w:r>
        <w:rPr>
          <w:rFonts w:hint="eastAsia" w:ascii="方正黑体_GBK" w:hAnsi="方正黑体_GBK" w:eastAsia="方正黑体_GBK" w:cs="方正黑体_GBK"/>
          <w:snapToGrid/>
          <w:kern w:val="0"/>
          <w:sz w:val="36"/>
          <w:szCs w:val="22"/>
          <w:lang w:val="en-US" w:eastAsia="zh-CN" w:bidi="zh-CN"/>
        </w:rPr>
        <w:t xml:space="preserve">  </w:t>
      </w:r>
      <w:r>
        <w:rPr>
          <w:rFonts w:hint="eastAsia" w:ascii="方正黑体_GBK" w:hAnsi="方正黑体_GBK" w:eastAsia="方正黑体_GBK" w:cs="方正黑体_GBK"/>
          <w:snapToGrid/>
          <w:kern w:val="0"/>
          <w:sz w:val="36"/>
          <w:szCs w:val="22"/>
          <w:lang w:val="zh-CN" w:eastAsia="zh-CN" w:bidi="zh-CN"/>
        </w:rPr>
        <w:t>名词解释</w:t>
      </w:r>
    </w:p>
    <w:p>
      <w:pPr>
        <w:widowControl w:val="0"/>
        <w:tabs>
          <w:tab w:val="left" w:pos="3738"/>
        </w:tabs>
        <w:kinsoku/>
        <w:adjustRightInd/>
        <w:snapToGrid/>
        <w:spacing w:line="240" w:lineRule="auto"/>
        <w:jc w:val="left"/>
        <w:textAlignment w:val="auto"/>
        <w:rPr>
          <w:rFonts w:hint="eastAsia" w:ascii="方正黑体_GBK" w:hAnsi="方正黑体_GBK" w:eastAsia="方正黑体_GBK" w:cs="方正黑体_GBK"/>
          <w:snapToGrid/>
          <w:kern w:val="0"/>
          <w:sz w:val="36"/>
          <w:szCs w:val="22"/>
          <w:lang w:val="zh-CN" w:eastAsia="zh-CN" w:bidi="zh-CN"/>
        </w:rPr>
        <w:sectPr>
          <w:footerReference r:id="rId7" w:type="default"/>
          <w:pgSz w:w="11906" w:h="16839"/>
          <w:pgMar w:top="1431" w:right="1502" w:bottom="1157" w:left="1785" w:header="0" w:footer="994" w:gutter="0"/>
          <w:pgNumType w:fmt="decimal"/>
          <w:cols w:space="720" w:num="1"/>
        </w:sect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3078" w:lineRule="exact"/>
        <w:textAlignment w:val="center"/>
      </w:pPr>
      <w:r>
        <mc:AlternateContent>
          <mc:Choice Requires="wpg">
            <w:drawing>
              <wp:inline distT="0" distB="0" distL="114300" distR="114300">
                <wp:extent cx="7560310" cy="1955165"/>
                <wp:effectExtent l="12700" t="0" r="27940" b="70485"/>
                <wp:docPr id="3" name="组合 2"/>
                <wp:cNvGraphicFramePr/>
                <a:graphic xmlns:a="http://schemas.openxmlformats.org/drawingml/2006/main">
                  <a:graphicData uri="http://schemas.microsoft.com/office/word/2010/wordprocessingGroup">
                    <wpg:wgp>
                      <wpg:cNvGrpSpPr/>
                      <wpg:grpSpPr>
                        <a:xfrm>
                          <a:off x="0" y="0"/>
                          <a:ext cx="7560310" cy="1955165"/>
                          <a:chOff x="0" y="0"/>
                          <a:chExt cx="11905" cy="3078"/>
                        </a:xfrm>
                        <a:effectLst/>
                      </wpg:grpSpPr>
                      <pic:pic xmlns:pic="http://schemas.openxmlformats.org/drawingml/2006/picture">
                        <pic:nvPicPr>
                          <pic:cNvPr id="1" name="图片 3"/>
                          <pic:cNvPicPr>
                            <a:picLocks noChangeAspect="true"/>
                          </pic:cNvPicPr>
                        </pic:nvPicPr>
                        <pic:blipFill>
                          <a:blip r:embed="rId19"/>
                          <a:stretch>
                            <a:fillRect/>
                          </a:stretch>
                        </pic:blipFill>
                        <pic:spPr>
                          <a:xfrm>
                            <a:off x="0" y="0"/>
                            <a:ext cx="11905" cy="3078"/>
                          </a:xfrm>
                          <a:prstGeom prst="rect">
                            <a:avLst/>
                          </a:prstGeom>
                          <a:noFill/>
                          <a:ln>
                            <a:noFill/>
                          </a:ln>
                          <a:effectLst/>
                        </pic:spPr>
                      </pic:pic>
                      <wps:wsp>
                        <wps:cNvPr id="2" name="文本框 4"/>
                        <wps:cNvSpPr txBox="true"/>
                        <wps:spPr>
                          <a:xfrm>
                            <a:off x="-20" y="-20"/>
                            <a:ext cx="11945" cy="3212"/>
                          </a:xfrm>
                          <a:prstGeom prst="rect">
                            <a:avLst/>
                          </a:prstGeom>
                          <a:noFill/>
                          <a:ln>
                            <a:noFill/>
                          </a:ln>
                          <a:effectLst/>
                        </wps:spPr>
                        <wps:txbx>
                          <w:txbxContent>
                            <w:p>
                              <w:pPr>
                                <w:spacing w:line="273"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before="169" w:line="241" w:lineRule="auto"/>
                                <w:ind w:left="1450"/>
                                <w:rPr>
                                  <w:rFonts w:ascii="黑体" w:hAnsi="黑体" w:eastAsia="黑体" w:cs="黑体"/>
                                  <w:sz w:val="52"/>
                                  <w:szCs w:val="52"/>
                                </w:rPr>
                              </w:pPr>
                              <w:r>
                                <w:rPr>
                                  <w:rFonts w:ascii="黑体" w:hAnsi="黑体" w:eastAsia="黑体" w:cs="黑体"/>
                                  <w:b/>
                                  <w:bCs/>
                                  <w:spacing w:val="-5"/>
                                  <w:sz w:val="52"/>
                                  <w:szCs w:val="52"/>
                                </w:rPr>
                                <w:t>第一部分</w:t>
                              </w:r>
                              <w:r>
                                <w:rPr>
                                  <w:rFonts w:hint="eastAsia" w:ascii="黑体" w:hAnsi="黑体" w:eastAsia="黑体" w:cs="黑体"/>
                                  <w:b/>
                                  <w:bCs/>
                                  <w:spacing w:val="-5"/>
                                  <w:sz w:val="52"/>
                                  <w:szCs w:val="52"/>
                                  <w:lang w:val="en-US" w:eastAsia="zh-CN"/>
                                </w:rPr>
                                <w:t xml:space="preserve">   </w:t>
                              </w:r>
                              <w:r>
                                <w:rPr>
                                  <w:rFonts w:hint="eastAsia" w:ascii="黑体" w:hAnsi="黑体" w:eastAsia="黑体" w:cs="黑体"/>
                                  <w:b/>
                                  <w:bCs/>
                                  <w:spacing w:val="-5"/>
                                  <w:sz w:val="52"/>
                                  <w:szCs w:val="52"/>
                                  <w:lang w:eastAsia="zh-CN"/>
                                </w:rPr>
                                <w:t>郴州市消防救援支队本级</w:t>
                              </w:r>
                              <w:r>
                                <w:rPr>
                                  <w:rFonts w:ascii="黑体" w:hAnsi="黑体" w:eastAsia="黑体" w:cs="黑体"/>
                                  <w:b/>
                                  <w:bCs/>
                                  <w:spacing w:val="-5"/>
                                  <w:sz w:val="52"/>
                                  <w:szCs w:val="52"/>
                                </w:rPr>
                                <w:t>概况</w:t>
                              </w:r>
                            </w:p>
                          </w:txbxContent>
                        </wps:txbx>
                        <wps:bodyPr vert="horz" wrap="square" lIns="0" tIns="0" rIns="0" bIns="0" anchor="t" anchorCtr="false" upright="true"/>
                      </wps:wsp>
                    </wpg:wgp>
                  </a:graphicData>
                </a:graphic>
              </wp:inline>
            </w:drawing>
          </mc:Choice>
          <mc:Fallback>
            <w:pict>
              <v:group id="组合 2" o:spid="_x0000_s1026" o:spt="203" style="height:153.95pt;width:595.3pt;" coordsize="11905,3078" o:gfxdata="UEsFBgAAAAAAAAAAAAAAAAAAAAAAAFBLAwQKAAAAAACHTuJAAAAAAAAAAAAAAAAABAAAAGRycy9Q&#10;SwMEFAAAAAgAh07iQJLCR2XXAAAABgEAAA8AAABkcnMvZG93bnJldi54bWxNj0FLw0AQhe+C/2EZ&#10;wZvdXYvVxmyKFPVUhLaCeJtmp0lodjZkt0n779160cvA4z3e+yZfnFwrBupD49mAnigQxKW3DVcG&#10;Prdvd08gQkS22HomA2cKsCiur3LMrB95TcMmViKVcMjQQB1jl0kZypochonviJO3973DmGRfSdvj&#10;mMpdK++VmkmHDaeFGjta1lQeNkdn4H3E8WWqX4fVYb88f28fPr5Wmoy5vdHqGUSkU/wLwwU/oUOR&#10;mHb+yDaI1kB6JP7ei6fnagZiZ2CqHucgi1z+xy9+AFBLAwQUAAAACACHTuJAr8FaHOcCAADdBgAA&#10;DgAAAGRycy9lMm9Eb2MueG1stVXNbtQwEL4j8Q6W722S3W5po2YraGlVqYIVhQfwOs6PSGxjO7tb&#10;zojCjRMXuHDnDZB4m7avwUx+Nt0uv5U4JJmxPeNvvvnJ3v6iLMhMGJsrGdFg06dESK7iXKYRffH8&#10;aGOHEuuYjFmhpIjoubB0f3z/3t5ch2KgMlXEwhBwIm041xHNnNOh51meiZLZTaWFhM1EmZI5UE3q&#10;xYbNwXtZeAPf3/bmysTaKC6shdXDZpOOa/9JIrh7miRWOFJEFLC5+m3q9xTf3niPhalhOst5C4Pd&#10;AUXJcgmXLl0dMsdIZfI1V2XOjbIqcZtclZ5KkpyLOgaIJvBvRXNsVKXrWNJwnuolTUDtLZ7u7JY/&#10;mU0MyeOIDimRrIQUXX97c/nhHRkgN3OdhnDk2OgzPTHtQtpoGO4iMSV+IRCyqFk9X7IqFo5wWHww&#10;2vaHAZDPYS/YHY2C7VHDO88gOWt2PHvcWgbBrj9q7Ib+gx008vo7RZ3eU+twGYEucemch/C0fIG0&#10;xtef6wqsXGUEsI/e5GyS84lplJ6zoOPs8tP36/cXZIgQ8TweaQwYIjlV/KUlUh1kTKbiodVQlxF1&#10;phJ1TKsWHqorF06LXB/lRYFMo9wGBmV8qwx+ElZTYoeKV6WQrukZIwrmoGFtlmtLiQlFORVQAuYk&#10;DprMWGeE4xlemMDFzwBvQ/5yo0bZA0PMFkrkb4vi96nVxrpjoUqCAuCC6yERLGSzNt3AansEl6VC&#10;dgAgCwu5sgDl0qysFEsPto4CVKx0GEC2oxa0NXL/qcfOMqaxeNBtXy+Drl6uPl5cff569eUt2ULC&#10;21PYY8QtHinomq44cOsXxG4MoKmgp/BbB991HJC71fXNIKgb+UbfdMz9J3J7wCi5xXTRBjhV8TnE&#10;Bz8LSGmmzGtK5jB4I2pfVQw6jRQnEljHKd0JphOmncAkB1Ogh5JGPHCgJayw4KDSJk+zm52FECCr&#10;7YCAGVpPkHbe45C+qden+r/S+AdQSwMECgAAAAAAh07iQAAAAAAAAAAAAAAAAAoAAABkcnMvbWVk&#10;aWEvUEsDBBQAAAAIAIdO4kDcxlch+wAAANIIAAAUAAAAZHJzL21lZGlhL2ltYWdlMS5wbmfrDPBz&#10;5+WS4mJgYOD19HAJYmBgWc7AwGjKwQYUMRJrnsTAwDHT08UxpGLO29uGvUwODC4XW3OYIhw40wxc&#10;6r0cGFhlmfwOsDZx+x3T/2bLGvw/xWz556cWQM0MCgbHJdZXsYCY2beuMYPoiOkWrEDKIU3u2+4q&#10;sEj3rT8x9fu/coBkrz25xg6SdZvDBKQUlP0YgdQEQaB7GBhOdASDqJQjmiDK6JEIiJIsBLm7oQdi&#10;6Ki20SAZTSWjGWe0UBgtJ0erjiFZLRr/vzcf2i6Y9f345nugSv7Aoju/QDSsBfBM4nFYP0ggwfe/&#10;oQxv9f4SIT0Q19PVz2WdU0IT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1wcAAFtDb250ZW50X1R5cGVzXS54bWxQSwECFAAKAAAAAACH&#10;TuJAAAAAAAAAAAAAAAAABgAAAAAAAAAAABAAAACkBQAAX3JlbHMvUEsBAhQAFAAAAAgAh07iQIoU&#10;ZjzRAAAAlAEAAAsAAAAAAAAAAQAgAAAAyAUAAF9yZWxzLy5yZWxzUEsBAhQACgAAAAAAh07iQAAA&#10;AAAAAAAAAAAAAAQAAAAAAAAAAAAQAAAAFgAAAGRycy9QSwECFAAKAAAAAACHTuJAAAAAAAAAAAAA&#10;AAAACgAAAAAAAAAAABAAAADCBgAAZHJzL19yZWxzL1BLAQIUABQAAAAIAIdO4kCqJg6+tgAAACEB&#10;AAAZAAAAAAAAAAEAIAAAAOoGAABkcnMvX3JlbHMvZTJvRG9jLnhtbC5yZWxzUEsBAhQAFAAAAAgA&#10;h07iQJLCR2XXAAAABgEAAA8AAAAAAAAAAQAgAAAAOAAAAGRycy9kb3ducmV2LnhtbFBLAQIUABQA&#10;AAAIAIdO4kCvwVoc5wIAAN0GAAAOAAAAAAAAAAEAIAAAADwBAABkcnMvZTJvRG9jLnhtbFBLAQIU&#10;AAoAAAAAAIdO4kAAAAAAAAAAAAAAAAAKAAAAAAAAAAAAEAAAAE8EAABkcnMvbWVkaWEvUEsBAhQA&#10;FAAAAAgAh07iQNzGVyH7AAAA0ggAABQAAAAAAAAAAQAgAAAAdwQAAGRycy9tZWRpYS9pbWFnZTEu&#10;cG5nUEsFBgAAAAAKAAoAUgIAAAwJAAAAAA==&#10;">
                <o:lock v:ext="edit" aspectratio="f"/>
                <v:shape id="图片 3" o:spid="_x0000_s1026" o:spt="75" alt="" type="#_x0000_t75" style="position:absolute;left:0;top:0;height:3078;width:11905;" filled="f" o:preferrelative="t" stroked="f" coordsize="21600,21600" o:gfxdata="UEsFBgAAAAAAAAAAAAAAAAAAAAAAAFBLAwQKAAAAAACHTuJAAAAAAAAAAAAAAAAABAAAAGRycy9Q&#10;SwMEFAAAAAgAh07iQGBzq1m7AAAA2gAAAA8AAABkcnMvZG93bnJldi54bWxFT01rAjEQvRf8D2EE&#10;bzWxgtTVKEUpiMVD1z14HDbj7tLNZEmirv76Rij0NDze5yzXvW3FlXxoHGuYjBUI4tKZhisNxfHz&#10;9R1EiMgGW8ek4U4B1qvByxIz4278Tdc8ViKFcMhQQx1jl0kZyposhrHriBN3dt5iTNBX0ni8pXDb&#10;yjelZtJiw6mhxo42NZU/+cVqmM/vxcN8nI+HQuX7/nLy2+njS+vRcKIWICL18V/8596ZNB+erzyv&#10;XP0C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GBzq1m7AAAA2gAAAA8AAAAAAAAAAQAgAAAAOAAAAGRycy9kb3ducmV2Lnht&#10;bFBLAQIUABQAAAAIAIdO4kAzLwWeOwAAADkAAAAQAAAAAAAAAAEAIAAAACABAABkcnMvc2hhcGV4&#10;bWwueG1sUEsFBgAAAAAGAAYAWwEAAMoDAAAAAA==&#10;">
                  <v:fill on="f" focussize="0,0"/>
                  <v:stroke on="f"/>
                  <v:imagedata r:id="rId19" o:title=""/>
                  <o:lock v:ext="edit" aspectratio="t"/>
                </v:shape>
                <v:shape id="文本框 4" o:spid="_x0000_s1026" o:spt="202" type="#_x0000_t202" style="position:absolute;left:-20;top:-20;height:3212;width:11945;" filled="f" stroked="f" coordsize="21600,21600" o:gfxdata="UEsFBgAAAAAAAAAAAAAAAAAAAAAAAFBLAwQKAAAAAACHTuJAAAAAAAAAAAAAAAAABAAAAGRycy9Q&#10;SwMEFAAAAAgAh07iQJGlXQi9AAAA2gAAAA8AAABkcnMvZG93bnJldi54bWxFj09rAjEUxO8Fv0N4&#10;grduogfRrVFKURAEcd0eenzdPHeDm5d1E//02zeFgsdhZn7DLFYP14ob9cF61jDOFAjiyhvLtYbP&#10;cvM6AxEissHWM2n4oQCr5eBlgbnxdy7odoy1SBAOOWpoYuxyKUPVkMOQ+Y44eSffO4xJ9rU0Pd4T&#10;3LVyotRUOrScFhrs6KOh6ny8Og3vX1ys7WX/fShOhS3LueLd9Kz1aDhWbyAiPeIz/N/eGg0T+LuS&#10;boBc/gJ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kaVdCL0AAADaAAAADwAAAAAAAAABACAAAAA4AAAAZHJzL2Rvd25yZXYu&#10;eG1sUEsBAhQAFAAAAAgAh07iQDMvBZ47AAAAOQAAABAAAAAAAAAAAQAgAAAAIgEAAGRycy9zaGFw&#10;ZXhtbC54bWxQSwUGAAAAAAYABgBbAQAAzAMAAAAA&#10;">
                  <v:fill on="f" focussize="0,0"/>
                  <v:stroke on="f"/>
                  <v:imagedata o:title=""/>
                  <o:lock v:ext="edit" aspectratio="f"/>
                  <v:textbox inset="0mm,0mm,0mm,0mm">
                    <w:txbxContent>
                      <w:p>
                        <w:pPr>
                          <w:spacing w:line="273"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before="169" w:line="241" w:lineRule="auto"/>
                          <w:ind w:left="1450"/>
                          <w:rPr>
                            <w:rFonts w:ascii="黑体" w:hAnsi="黑体" w:eastAsia="黑体" w:cs="黑体"/>
                            <w:sz w:val="52"/>
                            <w:szCs w:val="52"/>
                          </w:rPr>
                        </w:pPr>
                        <w:r>
                          <w:rPr>
                            <w:rFonts w:ascii="黑体" w:hAnsi="黑体" w:eastAsia="黑体" w:cs="黑体"/>
                            <w:b/>
                            <w:bCs/>
                            <w:spacing w:val="-5"/>
                            <w:sz w:val="52"/>
                            <w:szCs w:val="52"/>
                          </w:rPr>
                          <w:t>第一部分</w:t>
                        </w:r>
                        <w:r>
                          <w:rPr>
                            <w:rFonts w:hint="eastAsia" w:ascii="黑体" w:hAnsi="黑体" w:eastAsia="黑体" w:cs="黑体"/>
                            <w:b/>
                            <w:bCs/>
                            <w:spacing w:val="-5"/>
                            <w:sz w:val="52"/>
                            <w:szCs w:val="52"/>
                            <w:lang w:val="en-US" w:eastAsia="zh-CN"/>
                          </w:rPr>
                          <w:t xml:space="preserve">   </w:t>
                        </w:r>
                        <w:r>
                          <w:rPr>
                            <w:rFonts w:hint="eastAsia" w:ascii="黑体" w:hAnsi="黑体" w:eastAsia="黑体" w:cs="黑体"/>
                            <w:b/>
                            <w:bCs/>
                            <w:spacing w:val="-5"/>
                            <w:sz w:val="52"/>
                            <w:szCs w:val="52"/>
                            <w:lang w:eastAsia="zh-CN"/>
                          </w:rPr>
                          <w:t>郴州市消防救援支队本级</w:t>
                        </w:r>
                        <w:r>
                          <w:rPr>
                            <w:rFonts w:ascii="黑体" w:hAnsi="黑体" w:eastAsia="黑体" w:cs="黑体"/>
                            <w:b/>
                            <w:bCs/>
                            <w:spacing w:val="-5"/>
                            <w:sz w:val="52"/>
                            <w:szCs w:val="52"/>
                          </w:rPr>
                          <w:t>概况</w:t>
                        </w:r>
                      </w:p>
                    </w:txbxContent>
                  </v:textbox>
                </v:shape>
                <w10:wrap type="none"/>
                <w10:anchorlock/>
              </v:group>
            </w:pict>
          </mc:Fallback>
        </mc:AlternateContent>
      </w:r>
    </w:p>
    <w:p>
      <w:pPr>
        <w:sectPr>
          <w:footerReference r:id="rId8" w:type="default"/>
          <w:pgSz w:w="11906" w:h="16839"/>
          <w:pgMar w:top="1431" w:right="0" w:bottom="1156" w:left="0" w:header="0" w:footer="994" w:gutter="0"/>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lang w:val="en-US" w:eastAsia="en-US" w:bidi="ar-SA"/>
        </w:rPr>
      </w:pPr>
      <w:r>
        <w:rPr>
          <w:rFonts w:hint="eastAsia" w:ascii="方正黑体_GBK" w:hAnsi="方正黑体_GBK" w:eastAsia="方正黑体_GBK" w:cs="方正黑体_GBK"/>
          <w:sz w:val="32"/>
          <w:szCs w:val="32"/>
          <w:lang w:val="en-US" w:eastAsia="en-US" w:bidi="ar-SA"/>
        </w:rPr>
        <w:t>一、</w:t>
      </w:r>
      <w:r>
        <w:rPr>
          <w:rFonts w:hint="eastAsia" w:ascii="方正黑体_GBK" w:hAnsi="方正黑体_GBK" w:eastAsia="方正黑体_GBK" w:cs="方正黑体_GBK"/>
          <w:sz w:val="32"/>
          <w:szCs w:val="32"/>
          <w:lang w:val="en-US" w:eastAsia="zh-CN" w:bidi="ar-SA"/>
        </w:rPr>
        <w:t>单位</w:t>
      </w:r>
      <w:r>
        <w:rPr>
          <w:rFonts w:hint="eastAsia" w:ascii="方正黑体_GBK" w:hAnsi="方正黑体_GBK" w:eastAsia="方正黑体_GBK" w:cs="方正黑体_GBK"/>
          <w:sz w:val="32"/>
          <w:szCs w:val="32"/>
          <w:lang w:val="en-US" w:eastAsia="en-US" w:bidi="ar-SA"/>
        </w:rPr>
        <w:t>职责</w:t>
      </w:r>
    </w:p>
    <w:p>
      <w:pPr>
        <w:keepNext w:val="0"/>
        <w:keepLines w:val="0"/>
        <w:pageBreakBefore w:val="0"/>
        <w:widowControl w:val="0"/>
        <w:kinsoku/>
        <w:wordWrap/>
        <w:overflowPunct/>
        <w:topLinePunct w:val="0"/>
        <w:autoSpaceDE w:val="0"/>
        <w:autoSpaceDN w:val="0"/>
        <w:bidi w:val="0"/>
        <w:adjustRightInd/>
        <w:snapToGrid/>
        <w:spacing w:before="138" w:line="540" w:lineRule="exact"/>
        <w:ind w:left="1" w:firstLine="674"/>
        <w:jc w:val="left"/>
        <w:textAlignment w:val="auto"/>
        <w:rPr>
          <w:rFonts w:hint="eastAsia" w:ascii="方正仿宋_GBK" w:hAnsi="方正仿宋_GBK" w:eastAsia="方正仿宋_GBK" w:cs="方正仿宋_GBK"/>
          <w:snapToGrid/>
          <w:spacing w:val="8"/>
          <w:kern w:val="0"/>
          <w:sz w:val="32"/>
          <w:szCs w:val="32"/>
          <w:lang w:val="zh-CN" w:eastAsia="zh-CN" w:bidi="zh-CN"/>
        </w:rPr>
      </w:pPr>
      <w:r>
        <w:rPr>
          <w:rFonts w:hint="eastAsia" w:ascii="方正仿宋_GBK" w:hAnsi="方正仿宋_GBK" w:eastAsia="方正仿宋_GBK" w:cs="方正仿宋_GBK"/>
          <w:snapToGrid/>
          <w:spacing w:val="8"/>
          <w:kern w:val="0"/>
          <w:sz w:val="32"/>
          <w:szCs w:val="32"/>
          <w:lang w:val="zh-CN" w:eastAsia="zh-CN" w:bidi="zh-CN"/>
        </w:rPr>
        <w:t>郴州市消防救援支队本级</w:t>
      </w:r>
      <w:r>
        <w:rPr>
          <w:rFonts w:ascii="Times New Roman" w:hAnsi="Times New Roman" w:eastAsia="方正仿宋_GBK" w:cs="Times New Roman"/>
          <w:sz w:val="32"/>
          <w:szCs w:val="32"/>
        </w:rPr>
        <w:t>隶属</w:t>
      </w:r>
      <w:r>
        <w:rPr>
          <w:rFonts w:hint="eastAsia" w:ascii="Times New Roman" w:hAnsi="Times New Roman" w:eastAsia="方正仿宋_GBK" w:cs="Times New Roman"/>
          <w:sz w:val="32"/>
          <w:szCs w:val="32"/>
          <w:lang w:eastAsia="zh-CN"/>
        </w:rPr>
        <w:t>郴州市消防救援支队</w:t>
      </w:r>
      <w:r>
        <w:rPr>
          <w:rFonts w:hint="eastAsia" w:ascii="方正仿宋_GBK" w:hAnsi="方正仿宋_GBK" w:eastAsia="方正仿宋_GBK" w:cs="方正仿宋_GBK"/>
          <w:snapToGrid/>
          <w:spacing w:val="8"/>
          <w:kern w:val="0"/>
          <w:sz w:val="32"/>
          <w:szCs w:val="32"/>
          <w:lang w:val="zh-CN" w:eastAsia="zh-CN" w:bidi="zh-CN"/>
        </w:rPr>
        <w:t>，是</w:t>
      </w:r>
      <w:r>
        <w:rPr>
          <w:rFonts w:ascii="Times New Roman" w:hAnsi="Times New Roman" w:eastAsia="方正仿宋_GBK" w:cs="Times New Roman"/>
          <w:sz w:val="32"/>
          <w:szCs w:val="32"/>
        </w:rPr>
        <w:t>应急救援的主力军和国家队</w:t>
      </w:r>
      <w:r>
        <w:rPr>
          <w:rFonts w:hint="eastAsia" w:ascii="方正仿宋_GBK" w:hAnsi="方正仿宋_GBK" w:eastAsia="方正仿宋_GBK" w:cs="方正仿宋_GBK"/>
          <w:snapToGrid/>
          <w:spacing w:val="8"/>
          <w:kern w:val="0"/>
          <w:sz w:val="32"/>
          <w:szCs w:val="32"/>
          <w:lang w:val="zh-CN" w:eastAsia="zh-CN" w:bidi="zh-CN"/>
        </w:rPr>
        <w:t>，承担防范化解重大安全风险、应对处置各类灾害事故的重要职责，依据有关法律法规主要履行下列职责：</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（一）承担城乡综合性消防救援工作，负责指挥调度相关灾害事故救援行动，承担重要会议、大型活动消防安全保卫工作。</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（二）承担火灾预防、消防监督执法以及火灾事故调查处理相关工作，依法行使消防安全综合监管职能，推动落实消防安全责任制。</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（三）参与拟订消防专项规划，参与起草地方性消防法规、规章草案并监督实施。</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（四）负责消防救援队伍综合性消防救援预案编制、战术研究和执勤备战、训练演练等工作。</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（五）负责消防救援信息化和应急通信建设，承担综合性消防救援行动应急通信保障工作。</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（六）负责消防安全宣传教育，组织指导社会消防力量建设。</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（七）负责消防应急救援专业队伍规划、建设与调度指挥，参与组织协调动员各类社会救援力量参加救援任务。</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（八）负责消防救援队伍建设与管理。</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Times New Roman" w:hAnsi="Times New Roman" w:eastAsia="方正仿宋_GBK" w:cs="Times New Roman"/>
          <w:sz w:val="32"/>
          <w:szCs w:val="32"/>
        </w:rPr>
      </w:pPr>
      <w:r>
        <w:rPr>
          <w:rFonts w:hint="eastAsia" w:ascii="方正仿宋_GBK" w:hAnsi="方正仿宋_GBK" w:eastAsia="方正仿宋_GBK" w:cs="方正仿宋_GBK"/>
          <w:snapToGrid/>
          <w:kern w:val="0"/>
          <w:sz w:val="32"/>
          <w:szCs w:val="32"/>
          <w:lang w:val="zh-CN" w:eastAsia="zh-CN" w:bidi="zh-CN"/>
        </w:rPr>
        <w:t>（九）完成省消防救援总队和市委市政府交办的相关任务</w:t>
      </w:r>
      <w:r>
        <w:rPr>
          <w:rFonts w:hint="eastAsia" w:ascii="Times New Roman" w:hAnsi="Times New Roman" w:eastAsia="方正仿宋_GBK" w:cs="Times New Roman"/>
          <w:sz w:val="32"/>
          <w:szCs w:val="32"/>
        </w:rPr>
        <w:t>。</w:t>
      </w:r>
    </w:p>
    <w:p>
      <w:pPr>
        <w:pStyle w:val="2"/>
      </w:pPr>
    </w:p>
    <w:p>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color w:val="auto"/>
          <w:sz w:val="32"/>
          <w:szCs w:val="32"/>
          <w:lang w:val="en-US" w:eastAsia="en-US" w:bidi="ar-SA"/>
        </w:rPr>
      </w:pPr>
      <w:r>
        <w:rPr>
          <w:rFonts w:hint="eastAsia" w:ascii="方正黑体_GBK" w:hAnsi="方正黑体_GBK" w:eastAsia="方正黑体_GBK" w:cs="方正黑体_GBK"/>
          <w:color w:val="auto"/>
          <w:sz w:val="32"/>
          <w:szCs w:val="32"/>
          <w:lang w:val="en-US" w:eastAsia="en-US" w:bidi="ar-SA"/>
        </w:rPr>
        <w:t>二、机构设置</w:t>
      </w:r>
    </w:p>
    <w:p>
      <w:pPr>
        <w:kinsoku/>
        <w:wordWrap w:val="0"/>
        <w:topLinePunct/>
        <w:autoSpaceDE/>
        <w:autoSpaceDN/>
        <w:spacing w:line="550" w:lineRule="exact"/>
        <w:ind w:firstLine="640" w:firstLineChars="200"/>
        <w:rPr>
          <w:rFonts w:ascii="Times New Roman" w:hAnsi="Times New Roman" w:eastAsia="方正仿宋_GBK" w:cs="Times New Roman"/>
          <w:color w:val="auto"/>
          <w:sz w:val="32"/>
          <w:szCs w:val="32"/>
          <w:u w:val="none"/>
        </w:rPr>
      </w:pPr>
      <w:r>
        <w:rPr>
          <w:rFonts w:hint="eastAsia" w:ascii="Times New Roman" w:hAnsi="Times New Roman" w:eastAsia="方正仿宋_GBK" w:cs="Times New Roman"/>
          <w:color w:val="auto"/>
          <w:sz w:val="32"/>
          <w:szCs w:val="32"/>
          <w:lang w:val="en-US" w:eastAsia="zh-CN"/>
        </w:rPr>
        <w:t>2025年度，</w:t>
      </w:r>
      <w:r>
        <w:rPr>
          <w:rFonts w:ascii="Times New Roman" w:hAnsi="Times New Roman" w:eastAsia="方正仿宋_GBK" w:cs="Times New Roman"/>
          <w:color w:val="auto"/>
          <w:sz w:val="32"/>
          <w:szCs w:val="32"/>
        </w:rPr>
        <w:t>支队下设办公室、指挥中心、作战训练科、信息通信科、组织干部科、队务督察科、防火监督科、法制与社会消防工作科、新闻宣传科、后勤装备科、财务科、战勤保障科</w:t>
      </w:r>
      <w:r>
        <w:rPr>
          <w:rFonts w:hint="eastAsia" w:ascii="Times New Roman" w:hAnsi="Times New Roman" w:eastAsia="方正仿宋_GBK" w:cs="Times New Roman"/>
          <w:color w:val="auto"/>
          <w:sz w:val="32"/>
          <w:szCs w:val="32"/>
          <w:lang w:eastAsia="zh-CN"/>
        </w:rPr>
        <w:t>等</w:t>
      </w:r>
      <w:r>
        <w:rPr>
          <w:rFonts w:ascii="Times New Roman" w:hAnsi="Times New Roman" w:eastAsia="方正仿宋_GBK" w:cs="Times New Roman"/>
          <w:color w:val="auto"/>
          <w:sz w:val="32"/>
          <w:szCs w:val="32"/>
          <w:u w:val="none"/>
        </w:rPr>
        <w:t>1</w:t>
      </w:r>
      <w:r>
        <w:rPr>
          <w:rFonts w:hint="eastAsia" w:ascii="Times New Roman" w:hAnsi="Times New Roman" w:eastAsia="方正仿宋_GBK" w:cs="Times New Roman"/>
          <w:color w:val="auto"/>
          <w:sz w:val="32"/>
          <w:szCs w:val="32"/>
          <w:u w:val="none"/>
          <w:lang w:val="en-US" w:eastAsia="zh-CN"/>
        </w:rPr>
        <w:t>2</w:t>
      </w:r>
      <w:r>
        <w:rPr>
          <w:rFonts w:ascii="Times New Roman" w:hAnsi="Times New Roman" w:eastAsia="方正仿宋_GBK" w:cs="Times New Roman"/>
          <w:color w:val="auto"/>
          <w:sz w:val="32"/>
          <w:szCs w:val="32"/>
          <w:u w:val="none"/>
        </w:rPr>
        <w:t>个科室</w:t>
      </w:r>
      <w:r>
        <w:rPr>
          <w:rFonts w:hint="eastAsia" w:ascii="Times New Roman" w:hAnsi="Times New Roman" w:eastAsia="方正仿宋_GBK" w:cs="Times New Roman"/>
          <w:color w:val="auto"/>
          <w:sz w:val="32"/>
          <w:szCs w:val="32"/>
          <w:u w:val="none"/>
          <w:lang w:eastAsia="zh-CN"/>
        </w:rPr>
        <w:t>及</w:t>
      </w:r>
      <w:r>
        <w:rPr>
          <w:rFonts w:ascii="Times New Roman" w:hAnsi="Times New Roman" w:eastAsia="方正仿宋_GBK" w:cs="Times New Roman"/>
          <w:color w:val="auto"/>
          <w:sz w:val="32"/>
          <w:szCs w:val="32"/>
          <w:u w:val="none"/>
        </w:rPr>
        <w:t>应急通信与车辆勤务站、特勤站、特灾站</w:t>
      </w:r>
      <w:r>
        <w:rPr>
          <w:rFonts w:hint="eastAsia" w:ascii="Times New Roman" w:hAnsi="Times New Roman" w:eastAsia="方正仿宋_GBK" w:cs="Times New Roman"/>
          <w:color w:val="auto"/>
          <w:sz w:val="32"/>
          <w:szCs w:val="32"/>
          <w:u w:val="none"/>
          <w:lang w:val="en-US" w:eastAsia="zh-CN"/>
        </w:rPr>
        <w:t>3个</w:t>
      </w:r>
      <w:r>
        <w:rPr>
          <w:rFonts w:hint="eastAsia" w:ascii="Times New Roman" w:hAnsi="Times New Roman" w:eastAsia="方正仿宋_GBK" w:cs="Times New Roman"/>
          <w:color w:val="auto"/>
          <w:sz w:val="32"/>
          <w:szCs w:val="32"/>
          <w:u w:val="none"/>
          <w:lang w:eastAsia="zh-CN"/>
        </w:rPr>
        <w:t>消防救援站</w:t>
      </w:r>
      <w:r>
        <w:rPr>
          <w:rFonts w:ascii="Times New Roman" w:hAnsi="Times New Roman" w:eastAsia="方正仿宋_GBK" w:cs="Times New Roman"/>
          <w:color w:val="auto"/>
          <w:sz w:val="32"/>
          <w:szCs w:val="32"/>
          <w:u w:val="none"/>
        </w:rPr>
        <w:t>。</w:t>
      </w:r>
    </w:p>
    <w:p>
      <w:pPr>
        <w:rPr>
          <w:color w:val="auto"/>
          <w:u w:val="none"/>
        </w:rPr>
        <w:sectPr>
          <w:footerReference r:id="rId9" w:type="default"/>
          <w:pgSz w:w="11906" w:h="16839"/>
          <w:pgMar w:top="1431" w:right="1241" w:bottom="1157" w:left="1778" w:header="0" w:footer="994" w:gutter="0"/>
          <w:pgNumType w:fmt="decimal"/>
          <w:cols w:space="720" w:num="1"/>
        </w:sect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3131" w:lineRule="exact"/>
        <w:textAlignment w:val="center"/>
        <w:sectPr>
          <w:footerReference r:id="rId10" w:type="default"/>
          <w:pgSz w:w="11906" w:h="16839"/>
          <w:pgMar w:top="1431" w:right="0" w:bottom="1155" w:left="0" w:header="0" w:footer="994" w:gutter="0"/>
          <w:pgNumType w:fmt="decimal"/>
          <w:cols w:space="720" w:num="1"/>
        </w:sectPr>
      </w:pPr>
      <w:r>
        <mc:AlternateContent>
          <mc:Choice Requires="wps">
            <w:drawing>
              <wp:inline distT="0" distB="0" distL="114300" distR="114300">
                <wp:extent cx="7560310" cy="1988185"/>
                <wp:effectExtent l="0" t="0" r="2540" b="12065"/>
                <wp:docPr id="4" name="文本框 5"/>
                <wp:cNvGraphicFramePr/>
                <a:graphic xmlns:a="http://schemas.openxmlformats.org/drawingml/2006/main">
                  <a:graphicData uri="http://schemas.microsoft.com/office/word/2010/wordprocessingShape">
                    <wps:wsp>
                      <wps:cNvSpPr txBox="true"/>
                      <wps:spPr>
                        <a:xfrm>
                          <a:off x="0" y="0"/>
                          <a:ext cx="7560310" cy="1988185"/>
                        </a:xfrm>
                        <a:prstGeom prst="rect">
                          <a:avLst/>
                        </a:prstGeom>
                        <a:solidFill>
                          <a:srgbClr val="95B3D7"/>
                        </a:solidFill>
                        <a:ln>
                          <a:noFill/>
                        </a:ln>
                        <a:effectLst/>
                      </wps:spPr>
                      <wps:txbx>
                        <w:txbxContent>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keepNext w:val="0"/>
                              <w:keepLines w:val="0"/>
                              <w:pageBreakBefore w:val="0"/>
                              <w:widowControl w:val="0"/>
                              <w:tabs>
                                <w:tab w:val="left" w:pos="3738"/>
                              </w:tabs>
                              <w:kinsoku/>
                              <w:wordWrap/>
                              <w:overflowPunct/>
                              <w:topLinePunct w:val="0"/>
                              <w:autoSpaceDE w:val="0"/>
                              <w:autoSpaceDN w:val="0"/>
                              <w:bidi w:val="0"/>
                              <w:adjustRightInd/>
                              <w:snapToGrid/>
                              <w:spacing w:line="240" w:lineRule="auto"/>
                              <w:jc w:val="left"/>
                              <w:textAlignment w:val="auto"/>
                              <w:rPr>
                                <w:rFonts w:hint="eastAsia" w:ascii="方正黑体_GBK" w:hAnsi="方正黑体_GBK" w:eastAsia="方正黑体_GBK" w:cs="方正黑体_GBK"/>
                                <w:snapToGrid/>
                                <w:kern w:val="0"/>
                                <w:sz w:val="36"/>
                                <w:szCs w:val="22"/>
                                <w:lang w:val="zh-CN" w:eastAsia="zh-CN" w:bidi="zh-CN"/>
                              </w:rPr>
                            </w:pPr>
                            <w:r>
                              <w:rPr>
                                <w:rFonts w:ascii="黑体" w:hAnsi="黑体" w:eastAsia="黑体" w:cs="黑体"/>
                                <w:b/>
                                <w:bCs/>
                                <w:spacing w:val="-7"/>
                                <w:sz w:val="52"/>
                                <w:szCs w:val="52"/>
                              </w:rPr>
                              <w:t>第二部分</w:t>
                            </w:r>
                            <w:r>
                              <w:rPr>
                                <w:rFonts w:hint="eastAsia" w:ascii="黑体" w:hAnsi="黑体" w:eastAsia="黑体" w:cs="黑体"/>
                                <w:b/>
                                <w:bCs/>
                                <w:spacing w:val="-7"/>
                                <w:sz w:val="52"/>
                                <w:szCs w:val="52"/>
                                <w:lang w:val="en-US" w:eastAsia="zh-CN"/>
                              </w:rPr>
                              <w:t xml:space="preserve"> 郴州市消防救援支队本级</w:t>
                            </w:r>
                            <w:r>
                              <w:rPr>
                                <w:rFonts w:hint="eastAsia" w:ascii="黑体" w:hAnsi="黑体" w:eastAsia="黑体" w:cs="黑体"/>
                                <w:b/>
                                <w:bCs/>
                                <w:spacing w:val="-7"/>
                                <w:sz w:val="52"/>
                                <w:szCs w:val="52"/>
                                <w:lang w:val="zh-CN" w:eastAsia="zh-CN"/>
                              </w:rPr>
                              <w:t>202</w:t>
                            </w:r>
                            <w:r>
                              <w:rPr>
                                <w:rFonts w:hint="eastAsia" w:ascii="黑体" w:hAnsi="黑体" w:eastAsia="黑体" w:cs="黑体"/>
                                <w:b/>
                                <w:bCs/>
                                <w:spacing w:val="-7"/>
                                <w:sz w:val="52"/>
                                <w:szCs w:val="52"/>
                                <w:lang w:val="en-US" w:eastAsia="zh-CN"/>
                              </w:rPr>
                              <w:t>5</w:t>
                            </w:r>
                            <w:r>
                              <w:rPr>
                                <w:rFonts w:hint="eastAsia" w:ascii="黑体" w:hAnsi="黑体" w:eastAsia="黑体" w:cs="黑体"/>
                                <w:b/>
                                <w:bCs/>
                                <w:spacing w:val="-7"/>
                                <w:sz w:val="52"/>
                                <w:szCs w:val="52"/>
                                <w:lang w:val="zh-CN" w:eastAsia="zh-CN"/>
                              </w:rPr>
                              <w:t>年度决算表</w:t>
                            </w:r>
                          </w:p>
                          <w:p>
                            <w:pPr>
                              <w:spacing w:before="169" w:line="242" w:lineRule="auto"/>
                              <w:ind w:firstLine="520" w:firstLineChars="100"/>
                              <w:rPr>
                                <w:rFonts w:ascii="黑体" w:hAnsi="黑体" w:eastAsia="黑体" w:cs="黑体"/>
                                <w:sz w:val="52"/>
                                <w:szCs w:val="52"/>
                              </w:rPr>
                            </w:pPr>
                          </w:p>
                        </w:txbxContent>
                      </wps:txbx>
                      <wps:bodyPr vert="horz" wrap="square" lIns="0" tIns="0" rIns="0" bIns="0" anchor="t" anchorCtr="false" upright="true"/>
                    </wps:wsp>
                  </a:graphicData>
                </a:graphic>
              </wp:inline>
            </w:drawing>
          </mc:Choice>
          <mc:Fallback>
            <w:pict>
              <v:shape id="文本框 5" o:spid="_x0000_s1026" o:spt="202" type="#_x0000_t202" style="height:156.55pt;width:595.3pt;" fillcolor="#95B3D7" filled="t" stroked="f" coordsize="21600,21600" o:gfxdata="UEsFBgAAAAAAAAAAAAAAAAAAAAAAAFBLAwQKAAAAAACHTuJAAAAAAAAAAAAAAAAABAAAAGRycy9Q&#10;SwMEFAAAAAgAh07iQME4XfXWAAAABgEAAA8AAABkcnMvZG93bnJldi54bWxNj8FOwzAQRO9I/IO1&#10;SFwQtU1FSkKcHpCAE6KUSly38ZKkxOsodtry97hc4LLSaEYzb8vl0fViT2PoPBvQMwWCuPa248bA&#10;5v3x+g5EiMgWe89k4JsCLKvzsxIL6w/8Rvt1bEQq4VCggTbGoZAy1C05DDM/ECfv048OY5JjI+2I&#10;h1TuenmjVCYddpwWWhzooaX6az05A022WLzsPlb5zubDxj+/TrdPV5Mxlxda3YOIdIx/YTjhJ3So&#10;EtPWT2yD6A2kR+LvPXk6VxmIrYG5nmuQVSn/41c/UEsDBBQAAAAIAIdO4kAyHK3h4QEAAJkDAAAO&#10;AAAAZHJzL2Uyb0RvYy54bWytU81u00AQviPxDqu9EzstaVMrTqU2KkJCgFT6AOv12l5p/5jdxA4P&#10;AG/AiUvvPFeeg9l1nBa4IS7r+Z/5vhmvrgetyE6Al9aUdD7LKRGG21qatqQPn+5eLSnxgZmaKWtE&#10;SffC0+v1yxer3hXizHZW1QIIFjG+6F1JuxBckWWed0IzP7NOGHQ2FjQLqEKb1cB6rK5VdpbnF1lv&#10;oXZgufAerZvRSdepftMIHj40jReBqJLibCG9kN4qvtl6xYoWmOskP47B/mEKzaTBpqdSGxYY2YL8&#10;q5SWHKy3TZhxqzPbNJKLhAHRzPM/0Nx3zImEBcnx7kST/39l+fvdRyCyLulrSgzTuKLD92+HHz8P&#10;j1/JItLTO19g1L3DuDDc2KGkAbZicnm0R+BDAzp+ERLBEOR6f+JXDIFwNF4uLvLzObo4+uZXy+V8&#10;mVpkT+kOfHgjrCZRKCngAhOvbPfOB5wGQ6eQ2M1bJes7qVRSoK1uFZAdw2VfLW7ON5dxSkz5LUyZ&#10;GGxsTBvdo0Wkczm2iahHaFEKQzUcqahsvUcm8ORxvM7CF0p6PJ+S+s9bBoIS9dbgfuKtTQJMQjUJ&#10;zHBMRSIpGcXbgFrDlMcCWwey7bD6RHMWR8D9JyjHW40H9lxH+fkftf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FgAAAGRycy9QSwECFAAU&#10;AAAACACHTuJAwThd9dYAAAAGAQAADwAAAAAAAAABACAAAAA4AAAAZHJzL2Rvd25yZXYueG1sUEsB&#10;AhQAFAAAAAgAh07iQDIcreHhAQAAmQMAAA4AAAAAAAAAAQAgAAAAOwEAAGRycy9lMm9Eb2MueG1s&#10;UEsFBgAAAAAGAAYAWQEAAI4FAAAAAA==&#10;">
                <v:fill on="t" focussize="0,0"/>
                <v:stroke on="f"/>
                <v:imagedata o:title=""/>
                <o:lock v:ext="edit" aspectratio="f"/>
                <v:textbox inset="0mm,0mm,0mm,0mm">
                  <w:txbxContent>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keepNext w:val="0"/>
                        <w:keepLines w:val="0"/>
                        <w:pageBreakBefore w:val="0"/>
                        <w:widowControl w:val="0"/>
                        <w:tabs>
                          <w:tab w:val="left" w:pos="3738"/>
                        </w:tabs>
                        <w:kinsoku/>
                        <w:wordWrap/>
                        <w:overflowPunct/>
                        <w:topLinePunct w:val="0"/>
                        <w:autoSpaceDE w:val="0"/>
                        <w:autoSpaceDN w:val="0"/>
                        <w:bidi w:val="0"/>
                        <w:adjustRightInd/>
                        <w:snapToGrid/>
                        <w:spacing w:line="240" w:lineRule="auto"/>
                        <w:jc w:val="left"/>
                        <w:textAlignment w:val="auto"/>
                        <w:rPr>
                          <w:rFonts w:hint="eastAsia" w:ascii="方正黑体_GBK" w:hAnsi="方正黑体_GBK" w:eastAsia="方正黑体_GBK" w:cs="方正黑体_GBK"/>
                          <w:snapToGrid/>
                          <w:kern w:val="0"/>
                          <w:sz w:val="36"/>
                          <w:szCs w:val="22"/>
                          <w:lang w:val="zh-CN" w:eastAsia="zh-CN" w:bidi="zh-CN"/>
                        </w:rPr>
                      </w:pPr>
                      <w:r>
                        <w:rPr>
                          <w:rFonts w:ascii="黑体" w:hAnsi="黑体" w:eastAsia="黑体" w:cs="黑体"/>
                          <w:b/>
                          <w:bCs/>
                          <w:spacing w:val="-7"/>
                          <w:sz w:val="52"/>
                          <w:szCs w:val="52"/>
                        </w:rPr>
                        <w:t>第二部分</w:t>
                      </w:r>
                      <w:r>
                        <w:rPr>
                          <w:rFonts w:hint="eastAsia" w:ascii="黑体" w:hAnsi="黑体" w:eastAsia="黑体" w:cs="黑体"/>
                          <w:b/>
                          <w:bCs/>
                          <w:spacing w:val="-7"/>
                          <w:sz w:val="52"/>
                          <w:szCs w:val="52"/>
                          <w:lang w:val="en-US" w:eastAsia="zh-CN"/>
                        </w:rPr>
                        <w:t xml:space="preserve"> 郴州市消防救援支队本级</w:t>
                      </w:r>
                      <w:r>
                        <w:rPr>
                          <w:rFonts w:hint="eastAsia" w:ascii="黑体" w:hAnsi="黑体" w:eastAsia="黑体" w:cs="黑体"/>
                          <w:b/>
                          <w:bCs/>
                          <w:spacing w:val="-7"/>
                          <w:sz w:val="52"/>
                          <w:szCs w:val="52"/>
                          <w:lang w:val="zh-CN" w:eastAsia="zh-CN"/>
                        </w:rPr>
                        <w:t>202</w:t>
                      </w:r>
                      <w:r>
                        <w:rPr>
                          <w:rFonts w:hint="eastAsia" w:ascii="黑体" w:hAnsi="黑体" w:eastAsia="黑体" w:cs="黑体"/>
                          <w:b/>
                          <w:bCs/>
                          <w:spacing w:val="-7"/>
                          <w:sz w:val="52"/>
                          <w:szCs w:val="52"/>
                          <w:lang w:val="en-US" w:eastAsia="zh-CN"/>
                        </w:rPr>
                        <w:t>5</w:t>
                      </w:r>
                      <w:r>
                        <w:rPr>
                          <w:rFonts w:hint="eastAsia" w:ascii="黑体" w:hAnsi="黑体" w:eastAsia="黑体" w:cs="黑体"/>
                          <w:b/>
                          <w:bCs/>
                          <w:spacing w:val="-7"/>
                          <w:sz w:val="52"/>
                          <w:szCs w:val="52"/>
                          <w:lang w:val="zh-CN" w:eastAsia="zh-CN"/>
                        </w:rPr>
                        <w:t>年度决算表</w:t>
                      </w:r>
                    </w:p>
                    <w:p>
                      <w:pPr>
                        <w:spacing w:before="169" w:line="242" w:lineRule="auto"/>
                        <w:ind w:firstLine="520" w:firstLineChars="100"/>
                        <w:rPr>
                          <w:rFonts w:ascii="黑体" w:hAnsi="黑体" w:eastAsia="黑体" w:cs="黑体"/>
                          <w:sz w:val="52"/>
                          <w:szCs w:val="52"/>
                        </w:rPr>
                      </w:pPr>
                    </w:p>
                  </w:txbxContent>
                </v:textbox>
                <w10:wrap type="none"/>
                <w10:anchorlock/>
              </v:shape>
            </w:pict>
          </mc:Fallback>
        </mc:AlternateContent>
      </w:r>
    </w:p>
    <w:tbl>
      <w:tblPr>
        <w:tblStyle w:val="9"/>
        <w:tblW w:w="9595" w:type="dxa"/>
        <w:tblInd w:w="0" w:type="dxa"/>
        <w:tblLayout w:type="fixed"/>
        <w:tblCellMar>
          <w:top w:w="0" w:type="dxa"/>
          <w:left w:w="0" w:type="dxa"/>
          <w:bottom w:w="0" w:type="dxa"/>
          <w:right w:w="0" w:type="dxa"/>
        </w:tblCellMar>
      </w:tblPr>
      <w:tblGrid>
        <w:gridCol w:w="3258"/>
        <w:gridCol w:w="434"/>
        <w:gridCol w:w="1107"/>
        <w:gridCol w:w="3175"/>
        <w:gridCol w:w="400"/>
        <w:gridCol w:w="1221"/>
      </w:tblGrid>
      <w:tr>
        <w:tblPrEx>
          <w:tblCellMar>
            <w:top w:w="0" w:type="dxa"/>
            <w:left w:w="0" w:type="dxa"/>
            <w:bottom w:w="0" w:type="dxa"/>
            <w:right w:w="0" w:type="dxa"/>
          </w:tblCellMar>
        </w:tblPrEx>
        <w:trPr>
          <w:trHeight w:val="390" w:hRule="atLeast"/>
        </w:trPr>
        <w:tc>
          <w:tcPr>
            <w:tcW w:w="9595" w:type="dxa"/>
            <w:gridSpan w:val="6"/>
            <w:tcBorders>
              <w:top w:val="nil"/>
              <w:left w:val="nil"/>
              <w:bottom w:val="nil"/>
              <w:right w:val="nil"/>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收入支出决算总表</w:t>
            </w:r>
          </w:p>
        </w:tc>
      </w:tr>
      <w:tr>
        <w:tblPrEx>
          <w:tblCellMar>
            <w:top w:w="0" w:type="dxa"/>
            <w:left w:w="0" w:type="dxa"/>
            <w:bottom w:w="0" w:type="dxa"/>
            <w:right w:w="0" w:type="dxa"/>
          </w:tblCellMar>
        </w:tblPrEx>
        <w:trPr>
          <w:trHeight w:val="255" w:hRule="atLeast"/>
        </w:trPr>
        <w:tc>
          <w:tcPr>
            <w:tcW w:w="3258"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43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107"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317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40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221"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公开01表</w:t>
            </w:r>
          </w:p>
        </w:tc>
      </w:tr>
      <w:tr>
        <w:tblPrEx>
          <w:tblCellMar>
            <w:top w:w="0" w:type="dxa"/>
            <w:left w:w="0" w:type="dxa"/>
            <w:bottom w:w="0" w:type="dxa"/>
            <w:right w:w="0" w:type="dxa"/>
          </w:tblCellMar>
        </w:tblPrEx>
        <w:trPr>
          <w:trHeight w:val="255" w:hRule="atLeast"/>
        </w:trPr>
        <w:tc>
          <w:tcPr>
            <w:tcW w:w="3258"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43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107"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317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621"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260" w:hRule="atLeast"/>
        </w:trPr>
        <w:tc>
          <w:tcPr>
            <w:tcW w:w="4799"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收入</w:t>
            </w:r>
          </w:p>
        </w:tc>
        <w:tc>
          <w:tcPr>
            <w:tcW w:w="4796" w:type="dxa"/>
            <w:gridSpan w:val="3"/>
            <w:tcBorders>
              <w:top w:val="single" w:color="000000" w:sz="4" w:space="0"/>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支出</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金额</w:t>
            </w: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金额</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一、一般公共预算财政拨款收入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8,690.03</w:t>
            </w: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一、一般公共服务支出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1</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二、政府性基金预算财政拨款收入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二、外交支出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2</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三、国有资本经营预算财政拨款收入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三、国防支出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3</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四、上级补助收入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四、公共安全支出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4</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五、事业收入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五、教育支出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5</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六、经营收入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六、科学技术支出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6</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七、附属单位上缴收入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7</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七、文化旅游体育与传媒支出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7</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八、其他收入</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8</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5,000.61</w:t>
            </w: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八、社会保障和就业支出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8</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580.27</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9</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九、卫生健康支出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39</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554.68</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10</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十、节能环保支出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4</w:t>
            </w:r>
            <w:r>
              <w:rPr>
                <w:rFonts w:hint="default" w:ascii="宋体" w:hAnsi="宋体" w:eastAsia="宋体" w:cs="宋体"/>
                <w:i w:val="0"/>
                <w:snapToGrid w:val="0"/>
                <w:color w:val="000000"/>
                <w:kern w:val="0"/>
                <w:sz w:val="15"/>
                <w:szCs w:val="15"/>
                <w:u w:val="none"/>
                <w:lang w:val="en" w:eastAsia="zh-CN" w:bidi="ar"/>
              </w:rPr>
              <w:t>0</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11</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十一、城乡社区支出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41</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12</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十二、农林水支出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42</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13</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十三、交通运输支出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43</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14</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十四、资源勘探工业信息等支出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44</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15</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十五、商业服务业等支出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4</w:t>
            </w:r>
            <w:r>
              <w:rPr>
                <w:rFonts w:hint="default" w:ascii="宋体" w:hAnsi="宋体" w:eastAsia="宋体" w:cs="宋体"/>
                <w:i w:val="0"/>
                <w:snapToGrid w:val="0"/>
                <w:color w:val="000000"/>
                <w:kern w:val="0"/>
                <w:sz w:val="15"/>
                <w:szCs w:val="15"/>
                <w:u w:val="none"/>
                <w:lang w:val="en" w:eastAsia="zh-CN" w:bidi="ar"/>
              </w:rPr>
              <w:t>5</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16</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十六、金融支出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4</w:t>
            </w:r>
            <w:r>
              <w:rPr>
                <w:rFonts w:hint="default" w:ascii="宋体" w:hAnsi="宋体" w:eastAsia="宋体" w:cs="宋体"/>
                <w:i w:val="0"/>
                <w:snapToGrid w:val="0"/>
                <w:color w:val="000000"/>
                <w:kern w:val="0"/>
                <w:sz w:val="15"/>
                <w:szCs w:val="15"/>
                <w:u w:val="none"/>
                <w:lang w:val="en" w:eastAsia="zh-CN" w:bidi="ar"/>
              </w:rPr>
              <w:t>6</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17</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十七、援助其他地区支出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47</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18</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十八、自然资源海洋气象等支出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color w:val="000000"/>
                <w:sz w:val="15"/>
                <w:szCs w:val="15"/>
                <w:u w:val="none"/>
                <w:lang w:val="en"/>
              </w:rPr>
              <w:t>48</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19</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十九、住房保障支出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49</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658.10</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二十、粮油物资储备支出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50</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21</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二十一、国有资本经营预算支出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51</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二十二、灾害防治及应急管理支出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52</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11,442.81</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23</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二十三、其他支出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53</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b/>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24</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二十四、债务还本支出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54</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25</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二十五、债务付息支出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55</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26</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二十六、抗疫特别国债安排的支出</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56</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本年收入合计</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27</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13,690.64</w:t>
            </w: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本年支出合计</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57</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13,235.86</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color w:val="000000"/>
                <w:sz w:val="15"/>
                <w:szCs w:val="15"/>
                <w:u w:val="none"/>
                <w:lang w:val="en-US"/>
              </w:rPr>
            </w:pPr>
            <w:r>
              <w:rPr>
                <w:rFonts w:hint="eastAsia" w:ascii="宋体" w:hAnsi="宋体" w:eastAsia="宋体" w:cs="宋体"/>
                <w:i w:val="0"/>
                <w:snapToGrid w:val="0"/>
                <w:color w:val="000000"/>
                <w:kern w:val="0"/>
                <w:sz w:val="15"/>
                <w:szCs w:val="15"/>
                <w:u w:val="none"/>
                <w:lang w:val="en-US" w:eastAsia="zh-CN" w:bidi="ar"/>
              </w:rPr>
              <w:t>使用非财政拨款结余(含专用结余)</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28</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结余分配</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58</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年初结转和结余</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29</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5,594.06</w:t>
            </w: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年末结转和结余</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59</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6,048.84</w:t>
            </w:r>
          </w:p>
        </w:tc>
      </w:tr>
      <w:tr>
        <w:tblPrEx>
          <w:tblCellMar>
            <w:top w:w="0" w:type="dxa"/>
            <w:left w:w="0" w:type="dxa"/>
            <w:bottom w:w="0" w:type="dxa"/>
            <w:right w:w="0" w:type="dxa"/>
          </w:tblCellMar>
        </w:tblPrEx>
        <w:trPr>
          <w:trHeight w:val="260" w:hRule="atLeast"/>
        </w:trPr>
        <w:tc>
          <w:tcPr>
            <w:tcW w:w="32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总计</w:t>
            </w:r>
          </w:p>
        </w:tc>
        <w:tc>
          <w:tcPr>
            <w:tcW w:w="4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eastAsia" w:ascii="宋体" w:hAnsi="宋体" w:eastAsia="宋体" w:cs="宋体"/>
                <w:i w:val="0"/>
                <w:snapToGrid w:val="0"/>
                <w:color w:val="000000"/>
                <w:kern w:val="0"/>
                <w:sz w:val="15"/>
                <w:szCs w:val="15"/>
                <w:u w:val="none"/>
                <w:lang w:val="en-US" w:eastAsia="zh-CN" w:bidi="ar"/>
              </w:rPr>
              <w:t>3</w:t>
            </w:r>
            <w:r>
              <w:rPr>
                <w:rFonts w:hint="default" w:ascii="宋体" w:hAnsi="宋体" w:eastAsia="宋体" w:cs="宋体"/>
                <w:i w:val="0"/>
                <w:snapToGrid w:val="0"/>
                <w:color w:val="000000"/>
                <w:kern w:val="0"/>
                <w:sz w:val="15"/>
                <w:szCs w:val="15"/>
                <w:u w:val="none"/>
                <w:lang w:val="en" w:eastAsia="zh-CN" w:bidi="ar"/>
              </w:rPr>
              <w:t>0</w:t>
            </w:r>
          </w:p>
        </w:tc>
        <w:tc>
          <w:tcPr>
            <w:tcW w:w="11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19,284.70</w:t>
            </w:r>
          </w:p>
        </w:tc>
        <w:tc>
          <w:tcPr>
            <w:tcW w:w="31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总计</w:t>
            </w:r>
          </w:p>
        </w:tc>
        <w:tc>
          <w:tcPr>
            <w:tcW w:w="4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5"/>
                <w:szCs w:val="15"/>
                <w:u w:val="none"/>
                <w:lang w:val="en"/>
              </w:rPr>
            </w:pPr>
            <w:r>
              <w:rPr>
                <w:rFonts w:hint="default" w:ascii="宋体" w:hAnsi="宋体" w:eastAsia="宋体" w:cs="宋体"/>
                <w:i w:val="0"/>
                <w:snapToGrid w:val="0"/>
                <w:color w:val="000000"/>
                <w:kern w:val="0"/>
                <w:sz w:val="15"/>
                <w:szCs w:val="15"/>
                <w:u w:val="none"/>
                <w:lang w:val="en" w:eastAsia="zh-CN" w:bidi="ar"/>
              </w:rPr>
              <w:t>60</w:t>
            </w:r>
          </w:p>
        </w:tc>
        <w:tc>
          <w:tcPr>
            <w:tcW w:w="122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19,284.70</w:t>
            </w:r>
          </w:p>
        </w:tc>
      </w:tr>
      <w:tr>
        <w:tblPrEx>
          <w:tblCellMar>
            <w:top w:w="0" w:type="dxa"/>
            <w:left w:w="0" w:type="dxa"/>
            <w:bottom w:w="0" w:type="dxa"/>
            <w:right w:w="0" w:type="dxa"/>
          </w:tblCellMar>
        </w:tblPrEx>
        <w:trPr>
          <w:trHeight w:val="308" w:hRule="atLeast"/>
        </w:trPr>
        <w:tc>
          <w:tcPr>
            <w:tcW w:w="9595" w:type="dxa"/>
            <w:gridSpan w:val="6"/>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注：1.本表反映部门本年度的总收支和年末结转结余情况。</w:t>
            </w:r>
          </w:p>
        </w:tc>
      </w:tr>
      <w:tr>
        <w:tblPrEx>
          <w:tblCellMar>
            <w:top w:w="0" w:type="dxa"/>
            <w:left w:w="0" w:type="dxa"/>
            <w:bottom w:w="0" w:type="dxa"/>
            <w:right w:w="0" w:type="dxa"/>
          </w:tblCellMar>
        </w:tblPrEx>
        <w:trPr>
          <w:trHeight w:val="308" w:hRule="atLeast"/>
        </w:trPr>
        <w:tc>
          <w:tcPr>
            <w:tcW w:w="9595" w:type="dxa"/>
            <w:gridSpan w:val="6"/>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2.本套报表金额单位转换时可能存在尾数误差。</w:t>
            </w:r>
          </w:p>
        </w:tc>
      </w:tr>
    </w:tbl>
    <w:p>
      <w:pPr>
        <w:pStyle w:val="2"/>
        <w:ind w:left="0" w:leftChars="0" w:firstLine="0" w:firstLineChars="0"/>
        <w:rPr>
          <w:rFonts w:ascii="宋体" w:hAnsi="宋体" w:eastAsia="宋体" w:cs="宋体"/>
          <w:spacing w:val="3"/>
          <w:sz w:val="15"/>
          <w:szCs w:val="15"/>
        </w:rPr>
        <w:sectPr>
          <w:footerReference r:id="rId11" w:type="default"/>
          <w:pgSz w:w="11910" w:h="16840"/>
          <w:pgMar w:top="1431" w:right="1324" w:bottom="1133" w:left="1327" w:header="0" w:footer="1025" w:gutter="0"/>
          <w:pgNumType w:fmt="decimal"/>
          <w:cols w:space="720" w:num="1"/>
        </w:sectPr>
      </w:pPr>
    </w:p>
    <w:tbl>
      <w:tblPr>
        <w:tblStyle w:val="9"/>
        <w:tblpPr w:leftFromText="180" w:rightFromText="180" w:vertAnchor="text" w:horzAnchor="page" w:tblpX="1128" w:tblpY="4"/>
        <w:tblOverlap w:val="never"/>
        <w:tblW w:w="9720" w:type="dxa"/>
        <w:tblInd w:w="0" w:type="dxa"/>
        <w:tblLayout w:type="fixed"/>
        <w:tblCellMar>
          <w:top w:w="0" w:type="dxa"/>
          <w:left w:w="0" w:type="dxa"/>
          <w:bottom w:w="0" w:type="dxa"/>
          <w:right w:w="0" w:type="dxa"/>
        </w:tblCellMar>
      </w:tblPr>
      <w:tblGrid>
        <w:gridCol w:w="817"/>
        <w:gridCol w:w="2630"/>
        <w:gridCol w:w="1041"/>
        <w:gridCol w:w="1015"/>
        <w:gridCol w:w="978"/>
        <w:gridCol w:w="827"/>
        <w:gridCol w:w="715"/>
        <w:gridCol w:w="714"/>
        <w:gridCol w:w="983"/>
      </w:tblGrid>
      <w:tr>
        <w:tblPrEx>
          <w:tblCellMar>
            <w:top w:w="0" w:type="dxa"/>
            <w:left w:w="0" w:type="dxa"/>
            <w:bottom w:w="0" w:type="dxa"/>
            <w:right w:w="0" w:type="dxa"/>
          </w:tblCellMar>
        </w:tblPrEx>
        <w:trPr>
          <w:trHeight w:val="674" w:hRule="atLeast"/>
        </w:trPr>
        <w:tc>
          <w:tcPr>
            <w:tcW w:w="9720" w:type="dxa"/>
            <w:gridSpan w:val="9"/>
            <w:tcBorders>
              <w:top w:val="nil"/>
              <w:left w:val="nil"/>
              <w:bottom w:val="nil"/>
              <w:right w:val="nil"/>
            </w:tcBorders>
            <w:noWrap/>
            <w:tcMar>
              <w:top w:w="15" w:type="dxa"/>
              <w:left w:w="15" w:type="dxa"/>
              <w:right w:w="15" w:type="dxa"/>
            </w:tcMar>
            <w:vAlign w:val="bottom"/>
          </w:tcPr>
          <w:p>
            <w:pPr>
              <w:keepNext w:val="0"/>
              <w:keepLines w:val="0"/>
              <w:widowControl/>
              <w:suppressLineNumbers w:val="0"/>
              <w:ind w:firstLine="4200" w:firstLineChars="1400"/>
              <w:jc w:val="both"/>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收入决算表</w:t>
            </w:r>
          </w:p>
        </w:tc>
      </w:tr>
      <w:tr>
        <w:tblPrEx>
          <w:tblCellMar>
            <w:top w:w="0" w:type="dxa"/>
            <w:left w:w="0" w:type="dxa"/>
            <w:bottom w:w="0" w:type="dxa"/>
            <w:right w:w="0" w:type="dxa"/>
          </w:tblCellMar>
        </w:tblPrEx>
        <w:trPr>
          <w:trHeight w:val="323" w:hRule="atLeast"/>
        </w:trPr>
        <w:tc>
          <w:tcPr>
            <w:tcW w:w="817"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263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41"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1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78"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827"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1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1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83"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公开02表</w:t>
            </w:r>
          </w:p>
        </w:tc>
      </w:tr>
      <w:tr>
        <w:tblPrEx>
          <w:tblCellMar>
            <w:top w:w="0" w:type="dxa"/>
            <w:left w:w="0" w:type="dxa"/>
            <w:bottom w:w="0" w:type="dxa"/>
            <w:right w:w="0" w:type="dxa"/>
          </w:tblCellMar>
        </w:tblPrEx>
        <w:trPr>
          <w:trHeight w:val="323" w:hRule="atLeast"/>
        </w:trPr>
        <w:tc>
          <w:tcPr>
            <w:tcW w:w="3447"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1041"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1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78"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827"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1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697"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392" w:hRule="atLeast"/>
        </w:trPr>
        <w:tc>
          <w:tcPr>
            <w:tcW w:w="34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1041"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本年收入合计</w:t>
            </w:r>
          </w:p>
        </w:tc>
        <w:tc>
          <w:tcPr>
            <w:tcW w:w="1015"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财政拨款收入</w:t>
            </w:r>
          </w:p>
        </w:tc>
        <w:tc>
          <w:tcPr>
            <w:tcW w:w="978"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上级补助收入</w:t>
            </w:r>
          </w:p>
        </w:tc>
        <w:tc>
          <w:tcPr>
            <w:tcW w:w="827"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事业收入</w:t>
            </w:r>
          </w:p>
        </w:tc>
        <w:tc>
          <w:tcPr>
            <w:tcW w:w="715"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经营收入</w:t>
            </w:r>
          </w:p>
        </w:tc>
        <w:tc>
          <w:tcPr>
            <w:tcW w:w="714"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附属单位上缴收入</w:t>
            </w:r>
          </w:p>
        </w:tc>
        <w:tc>
          <w:tcPr>
            <w:tcW w:w="983"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其他收入</w:t>
            </w:r>
          </w:p>
        </w:tc>
      </w:tr>
      <w:tr>
        <w:tblPrEx>
          <w:tblCellMar>
            <w:top w:w="0" w:type="dxa"/>
            <w:left w:w="0" w:type="dxa"/>
            <w:bottom w:w="0" w:type="dxa"/>
            <w:right w:w="0" w:type="dxa"/>
          </w:tblCellMar>
        </w:tblPrEx>
        <w:trPr>
          <w:trHeight w:val="392" w:hRule="atLeast"/>
        </w:trPr>
        <w:tc>
          <w:tcPr>
            <w:tcW w:w="817"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科目代码</w:t>
            </w:r>
          </w:p>
        </w:tc>
        <w:tc>
          <w:tcPr>
            <w:tcW w:w="2630" w:type="dxa"/>
            <w:vMerge w:val="restart"/>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科目名称</w:t>
            </w:r>
          </w:p>
        </w:tc>
        <w:tc>
          <w:tcPr>
            <w:tcW w:w="1041"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01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78"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827"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1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14"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83"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92" w:hRule="atLeast"/>
        </w:trPr>
        <w:tc>
          <w:tcPr>
            <w:tcW w:w="817"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2630"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041"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01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78"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827"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1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14"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83"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92" w:hRule="atLeast"/>
        </w:trPr>
        <w:tc>
          <w:tcPr>
            <w:tcW w:w="817"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2630"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041"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01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78"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827"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1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14"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83"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81" w:hRule="atLeast"/>
        </w:trPr>
        <w:tc>
          <w:tcPr>
            <w:tcW w:w="3447"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1041"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101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c>
          <w:tcPr>
            <w:tcW w:w="978"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w:t>
            </w:r>
          </w:p>
        </w:tc>
        <w:tc>
          <w:tcPr>
            <w:tcW w:w="827"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w:t>
            </w:r>
          </w:p>
        </w:tc>
        <w:tc>
          <w:tcPr>
            <w:tcW w:w="71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w:t>
            </w:r>
          </w:p>
        </w:tc>
        <w:tc>
          <w:tcPr>
            <w:tcW w:w="714"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w:t>
            </w:r>
          </w:p>
        </w:tc>
        <w:tc>
          <w:tcPr>
            <w:tcW w:w="983"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7</w:t>
            </w:r>
          </w:p>
        </w:tc>
      </w:tr>
      <w:tr>
        <w:tblPrEx>
          <w:tblCellMar>
            <w:top w:w="0" w:type="dxa"/>
            <w:left w:w="0" w:type="dxa"/>
            <w:bottom w:w="0" w:type="dxa"/>
            <w:right w:w="0" w:type="dxa"/>
          </w:tblCellMar>
        </w:tblPrEx>
        <w:trPr>
          <w:trHeight w:val="381" w:hRule="atLeast"/>
        </w:trPr>
        <w:tc>
          <w:tcPr>
            <w:tcW w:w="3447"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合计</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13,690.64</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8,690.03</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5,000.61</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208</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社会保障和就业支出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648.94</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589.45</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59.49</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20805</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行政事业单位养老支出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648.94</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589.45</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59.49</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2080505</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机关事业单位基本养老保险缴费支出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401.68</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362.02</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39.66</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2080506</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机关事业单位职业年金缴费支出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247.26</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227.43</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19.83</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210</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卫生健康支出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787.94</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687.43</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100.51</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21011</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行政事业单位医疗</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787.94</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687.43</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100.51</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2101101</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行政单位医疗</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702.04</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629.53</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72.51</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2101199</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其他行政事业单位医疗支出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85.9</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57.9</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28</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221</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住房保障支出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691.18</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645.88</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45.3</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22102</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住房改革支出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691.18</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645.88</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45.3</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2210201</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住房公积金</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691.18</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645.88</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45.3</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224</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灾害防治及应急管理支出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11562.58</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6767.27</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4795.31</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22402</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消防救援事务</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11562.58</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6767.27</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4795.31</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2240201</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行政运行</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8425.3</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6303.1</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2122.2</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2240204</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消防应急救援</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2782.46</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109.35</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2673.11</w:t>
            </w:r>
          </w:p>
        </w:tc>
      </w:tr>
      <w:tr>
        <w:tblPrEx>
          <w:tblCellMar>
            <w:top w:w="0" w:type="dxa"/>
            <w:left w:w="0" w:type="dxa"/>
            <w:bottom w:w="0" w:type="dxa"/>
            <w:right w:w="0" w:type="dxa"/>
          </w:tblCellMar>
        </w:tblPrEx>
        <w:trPr>
          <w:trHeight w:val="466" w:hRule="atLeast"/>
        </w:trPr>
        <w:tc>
          <w:tcPr>
            <w:tcW w:w="81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snapToGrid w:val="0"/>
                <w:color w:val="000000"/>
                <w:kern w:val="0"/>
                <w:sz w:val="15"/>
                <w:szCs w:val="15"/>
                <w:u w:val="none"/>
                <w:lang w:val="en" w:eastAsia="zh-CN" w:bidi="ar"/>
              </w:rPr>
            </w:pPr>
            <w:r>
              <w:rPr>
                <w:rFonts w:hint="default" w:ascii="宋体" w:hAnsi="宋体" w:eastAsia="宋体" w:cs="宋体"/>
                <w:i w:val="0"/>
                <w:snapToGrid w:val="0"/>
                <w:color w:val="000000"/>
                <w:kern w:val="0"/>
                <w:sz w:val="15"/>
                <w:szCs w:val="15"/>
                <w:u w:val="none"/>
                <w:lang w:val="en" w:eastAsia="zh-CN" w:bidi="ar"/>
              </w:rPr>
              <w:t>2240299</w:t>
            </w:r>
          </w:p>
        </w:tc>
        <w:tc>
          <w:tcPr>
            <w:tcW w:w="2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其他消防救援事务支出</w:t>
            </w:r>
          </w:p>
        </w:tc>
        <w:tc>
          <w:tcPr>
            <w:tcW w:w="104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354.82</w:t>
            </w:r>
          </w:p>
        </w:tc>
        <w:tc>
          <w:tcPr>
            <w:tcW w:w="10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354.82</w:t>
            </w:r>
          </w:p>
        </w:tc>
        <w:tc>
          <w:tcPr>
            <w:tcW w:w="97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82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71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261" w:hRule="atLeast"/>
        </w:trPr>
        <w:tc>
          <w:tcPr>
            <w:tcW w:w="9720" w:type="dxa"/>
            <w:gridSpan w:val="9"/>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16"/>
                <w:szCs w:val="16"/>
                <w:u w:val="none"/>
                <w:lang w:val="en-US" w:eastAsia="zh-CN" w:bidi="ar"/>
              </w:rPr>
              <w:t>注：本表反映部门本年度取得的各项收入情况。</w:t>
            </w:r>
          </w:p>
        </w:tc>
      </w:tr>
    </w:tbl>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tbl>
      <w:tblPr>
        <w:tblStyle w:val="9"/>
        <w:tblpPr w:leftFromText="180" w:rightFromText="180" w:vertAnchor="text" w:horzAnchor="page" w:tblpX="981" w:tblpY="302"/>
        <w:tblOverlap w:val="never"/>
        <w:tblW w:w="10181" w:type="dxa"/>
        <w:tblInd w:w="0" w:type="dxa"/>
        <w:tblLayout w:type="fixed"/>
        <w:tblCellMar>
          <w:top w:w="0" w:type="dxa"/>
          <w:left w:w="0" w:type="dxa"/>
          <w:bottom w:w="0" w:type="dxa"/>
          <w:right w:w="0" w:type="dxa"/>
        </w:tblCellMar>
      </w:tblPr>
      <w:tblGrid>
        <w:gridCol w:w="867"/>
        <w:gridCol w:w="2082"/>
        <w:gridCol w:w="1207"/>
        <w:gridCol w:w="1345"/>
        <w:gridCol w:w="1345"/>
        <w:gridCol w:w="1085"/>
        <w:gridCol w:w="1080"/>
        <w:gridCol w:w="1170"/>
      </w:tblGrid>
      <w:tr>
        <w:tblPrEx>
          <w:tblCellMar>
            <w:top w:w="0" w:type="dxa"/>
            <w:left w:w="0" w:type="dxa"/>
            <w:bottom w:w="0" w:type="dxa"/>
            <w:right w:w="0" w:type="dxa"/>
          </w:tblCellMar>
        </w:tblPrEx>
        <w:trPr>
          <w:trHeight w:val="579" w:hRule="atLeast"/>
        </w:trPr>
        <w:tc>
          <w:tcPr>
            <w:tcW w:w="10181" w:type="dxa"/>
            <w:gridSpan w:val="8"/>
            <w:tcBorders>
              <w:top w:val="nil"/>
              <w:left w:val="nil"/>
              <w:bottom w:val="nil"/>
              <w:right w:val="nil"/>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支出决算表</w:t>
            </w:r>
          </w:p>
        </w:tc>
      </w:tr>
      <w:tr>
        <w:tblPrEx>
          <w:tblCellMar>
            <w:top w:w="0" w:type="dxa"/>
            <w:left w:w="0" w:type="dxa"/>
            <w:bottom w:w="0" w:type="dxa"/>
            <w:right w:w="0" w:type="dxa"/>
          </w:tblCellMar>
        </w:tblPrEx>
        <w:trPr>
          <w:trHeight w:val="392" w:hRule="atLeast"/>
        </w:trPr>
        <w:tc>
          <w:tcPr>
            <w:tcW w:w="867"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2082"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207"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34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34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8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8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170"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公开03表</w:t>
            </w:r>
          </w:p>
        </w:tc>
      </w:tr>
      <w:tr>
        <w:tblPrEx>
          <w:tblCellMar>
            <w:top w:w="0" w:type="dxa"/>
            <w:left w:w="0" w:type="dxa"/>
            <w:bottom w:w="0" w:type="dxa"/>
            <w:right w:w="0" w:type="dxa"/>
          </w:tblCellMar>
        </w:tblPrEx>
        <w:trPr>
          <w:trHeight w:val="392" w:hRule="atLeast"/>
        </w:trPr>
        <w:tc>
          <w:tcPr>
            <w:tcW w:w="2949"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1207"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34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34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8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2250"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476" w:hRule="atLeast"/>
        </w:trPr>
        <w:tc>
          <w:tcPr>
            <w:tcW w:w="294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项目</w:t>
            </w:r>
          </w:p>
        </w:tc>
        <w:tc>
          <w:tcPr>
            <w:tcW w:w="1207"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本年支出合计</w:t>
            </w:r>
          </w:p>
        </w:tc>
        <w:tc>
          <w:tcPr>
            <w:tcW w:w="1345"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基本支出</w:t>
            </w:r>
          </w:p>
        </w:tc>
        <w:tc>
          <w:tcPr>
            <w:tcW w:w="1345"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项目支出</w:t>
            </w:r>
          </w:p>
        </w:tc>
        <w:tc>
          <w:tcPr>
            <w:tcW w:w="1085"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上缴上级支出</w:t>
            </w:r>
          </w:p>
        </w:tc>
        <w:tc>
          <w:tcPr>
            <w:tcW w:w="1080"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经营支出</w:t>
            </w:r>
          </w:p>
        </w:tc>
        <w:tc>
          <w:tcPr>
            <w:tcW w:w="1170"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对附属单位补助支出</w:t>
            </w:r>
          </w:p>
        </w:tc>
      </w:tr>
      <w:tr>
        <w:tblPrEx>
          <w:tblCellMar>
            <w:top w:w="0" w:type="dxa"/>
            <w:left w:w="0" w:type="dxa"/>
            <w:bottom w:w="0" w:type="dxa"/>
            <w:right w:w="0" w:type="dxa"/>
          </w:tblCellMar>
        </w:tblPrEx>
        <w:trPr>
          <w:trHeight w:val="476" w:hRule="atLeast"/>
        </w:trPr>
        <w:tc>
          <w:tcPr>
            <w:tcW w:w="867"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2082" w:type="dxa"/>
            <w:vMerge w:val="restart"/>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1207"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4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4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170"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476" w:hRule="atLeast"/>
        </w:trPr>
        <w:tc>
          <w:tcPr>
            <w:tcW w:w="867"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082"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207"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4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4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170"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476" w:hRule="atLeast"/>
        </w:trPr>
        <w:tc>
          <w:tcPr>
            <w:tcW w:w="867"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082"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207"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4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4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170"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462" w:hRule="atLeast"/>
        </w:trPr>
        <w:tc>
          <w:tcPr>
            <w:tcW w:w="2949"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栏次</w:t>
            </w:r>
          </w:p>
        </w:tc>
        <w:tc>
          <w:tcPr>
            <w:tcW w:w="1207"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1</w:t>
            </w:r>
          </w:p>
        </w:tc>
        <w:tc>
          <w:tcPr>
            <w:tcW w:w="134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w:t>
            </w:r>
          </w:p>
        </w:tc>
        <w:tc>
          <w:tcPr>
            <w:tcW w:w="134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w:t>
            </w:r>
          </w:p>
        </w:tc>
        <w:tc>
          <w:tcPr>
            <w:tcW w:w="108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4</w:t>
            </w:r>
          </w:p>
        </w:tc>
        <w:tc>
          <w:tcPr>
            <w:tcW w:w="108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5</w:t>
            </w:r>
          </w:p>
        </w:tc>
        <w:tc>
          <w:tcPr>
            <w:tcW w:w="117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6</w:t>
            </w:r>
          </w:p>
        </w:tc>
      </w:tr>
      <w:tr>
        <w:tblPrEx>
          <w:tblCellMar>
            <w:top w:w="0" w:type="dxa"/>
            <w:left w:w="0" w:type="dxa"/>
            <w:bottom w:w="0" w:type="dxa"/>
            <w:right w:w="0" w:type="dxa"/>
          </w:tblCellMar>
        </w:tblPrEx>
        <w:trPr>
          <w:trHeight w:val="462" w:hRule="atLeast"/>
        </w:trPr>
        <w:tc>
          <w:tcPr>
            <w:tcW w:w="2949"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合计</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13,235.86</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10,076.33</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3,159.52</w:t>
            </w: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208</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社会保障和就业支出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580.27</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580.27</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20805</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行政事业单位养老支出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580.27</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580.27</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90"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2080505</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机关事业单位基本养老保险缴费支出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386.85</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386.85</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615"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2080506</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机关事业单位职业年金缴费支出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193.42</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193.42</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210</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卫生健康支出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 w:eastAsia="zh-CN" w:bidi="ar"/>
              </w:rPr>
            </w:pPr>
            <w:r>
              <w:rPr>
                <w:rFonts w:hint="eastAsia" w:ascii="宋体" w:hAnsi="宋体" w:eastAsia="宋体" w:cs="宋体"/>
                <w:i w:val="0"/>
                <w:snapToGrid w:val="0"/>
                <w:color w:val="000000"/>
                <w:kern w:val="0"/>
                <w:sz w:val="15"/>
                <w:szCs w:val="15"/>
                <w:u w:val="none"/>
                <w:lang w:val="en-US" w:eastAsia="zh-CN" w:bidi="ar"/>
              </w:rPr>
              <w:t>554.68</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554.68</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21011</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行政事业单位医疗</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554.68</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554.68</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2101101</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行政单位医疗</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505.71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505.71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2101199</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其他行政事业单位医疗支出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48.96</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48.96</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221</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住房保障支出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658.1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658.1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22102</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住房改革支出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658.1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658.1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2210201</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住房公积金</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658.1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658.1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224</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灾害防治及应急管理支出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11442.81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8283.28</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3159.52</w:t>
            </w: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22402</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消防救援事务</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11442.81</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8283.28</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3159.52</w:t>
            </w: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2240201</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行政运行</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7956.95</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7956.95</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2240204</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消防应急救援</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3159.52</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3159.52</w:t>
            </w: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86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snapToGrid w:val="0"/>
                <w:color w:val="000000"/>
                <w:kern w:val="0"/>
                <w:sz w:val="15"/>
                <w:szCs w:val="15"/>
                <w:u w:val="none"/>
                <w:lang w:val="en" w:eastAsia="zh-CN" w:bidi="ar"/>
              </w:rPr>
            </w:pPr>
            <w:r>
              <w:rPr>
                <w:rFonts w:hint="default" w:ascii="宋体" w:hAnsi="宋体" w:eastAsia="宋体" w:cs="宋体"/>
                <w:i w:val="0"/>
                <w:snapToGrid w:val="0"/>
                <w:color w:val="000000"/>
                <w:kern w:val="0"/>
                <w:sz w:val="15"/>
                <w:szCs w:val="15"/>
                <w:u w:val="none"/>
                <w:lang w:val="en" w:eastAsia="zh-CN" w:bidi="ar"/>
              </w:rPr>
              <w:t>2240299</w:t>
            </w:r>
          </w:p>
        </w:tc>
        <w:tc>
          <w:tcPr>
            <w:tcW w:w="208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其他消防救援事务支出</w:t>
            </w:r>
          </w:p>
        </w:tc>
        <w:tc>
          <w:tcPr>
            <w:tcW w:w="120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326.33</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326.33</w:t>
            </w:r>
          </w:p>
        </w:tc>
        <w:tc>
          <w:tcPr>
            <w:tcW w:w="13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0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1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62" w:hRule="atLeast"/>
        </w:trPr>
        <w:tc>
          <w:tcPr>
            <w:tcW w:w="10181" w:type="dxa"/>
            <w:gridSpan w:val="8"/>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注：本表反映部门本年度各项支出情况。</w:t>
            </w:r>
          </w:p>
        </w:tc>
      </w:tr>
    </w:tbl>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tbl>
      <w:tblPr>
        <w:tblStyle w:val="9"/>
        <w:tblpPr w:leftFromText="180" w:rightFromText="180" w:vertAnchor="text" w:horzAnchor="page" w:tblpX="1098" w:tblpY="3"/>
        <w:tblOverlap w:val="never"/>
        <w:tblW w:w="9735" w:type="dxa"/>
        <w:tblInd w:w="0" w:type="dxa"/>
        <w:tblLayout w:type="fixed"/>
        <w:tblCellMar>
          <w:top w:w="0" w:type="dxa"/>
          <w:left w:w="0" w:type="dxa"/>
          <w:bottom w:w="0" w:type="dxa"/>
          <w:right w:w="0" w:type="dxa"/>
        </w:tblCellMar>
      </w:tblPr>
      <w:tblGrid>
        <w:gridCol w:w="1969"/>
        <w:gridCol w:w="369"/>
        <w:gridCol w:w="934"/>
        <w:gridCol w:w="2305"/>
        <w:gridCol w:w="499"/>
        <w:gridCol w:w="705"/>
        <w:gridCol w:w="955"/>
        <w:gridCol w:w="1000"/>
        <w:gridCol w:w="999"/>
      </w:tblGrid>
      <w:tr>
        <w:tblPrEx>
          <w:tblCellMar>
            <w:top w:w="0" w:type="dxa"/>
            <w:left w:w="0" w:type="dxa"/>
            <w:bottom w:w="0" w:type="dxa"/>
            <w:right w:w="0" w:type="dxa"/>
          </w:tblCellMar>
        </w:tblPrEx>
        <w:trPr>
          <w:trHeight w:val="390" w:hRule="atLeast"/>
        </w:trPr>
        <w:tc>
          <w:tcPr>
            <w:tcW w:w="9735" w:type="dxa"/>
            <w:gridSpan w:val="9"/>
            <w:tcBorders>
              <w:top w:val="nil"/>
              <w:left w:val="nil"/>
              <w:bottom w:val="nil"/>
              <w:right w:val="nil"/>
            </w:tcBorders>
            <w:noWrap w:val="0"/>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财政拨款收入支出决算总表</w:t>
            </w:r>
          </w:p>
        </w:tc>
      </w:tr>
      <w:tr>
        <w:tblPrEx>
          <w:tblCellMar>
            <w:top w:w="0" w:type="dxa"/>
            <w:left w:w="0" w:type="dxa"/>
            <w:bottom w:w="0" w:type="dxa"/>
            <w:right w:w="0" w:type="dxa"/>
          </w:tblCellMar>
        </w:tblPrEx>
        <w:trPr>
          <w:trHeight w:val="255" w:hRule="atLeast"/>
        </w:trPr>
        <w:tc>
          <w:tcPr>
            <w:tcW w:w="1969" w:type="dxa"/>
            <w:tcBorders>
              <w:top w:val="nil"/>
              <w:left w:val="nil"/>
              <w:bottom w:val="nil"/>
              <w:right w:val="nil"/>
            </w:tcBorders>
            <w:noWrap w:val="0"/>
            <w:tcMar>
              <w:top w:w="15" w:type="dxa"/>
              <w:left w:w="15" w:type="dxa"/>
              <w:right w:w="15" w:type="dxa"/>
            </w:tcMar>
            <w:vAlign w:val="bottom"/>
          </w:tcPr>
          <w:p>
            <w:pPr>
              <w:rPr>
                <w:rFonts w:hint="eastAsia" w:ascii="Arial" w:hAnsi="Arial" w:cs="Arial"/>
                <w:i w:val="0"/>
                <w:color w:val="000000"/>
                <w:sz w:val="20"/>
                <w:szCs w:val="20"/>
                <w:u w:val="none"/>
              </w:rPr>
            </w:pPr>
          </w:p>
        </w:tc>
        <w:tc>
          <w:tcPr>
            <w:tcW w:w="369"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3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230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499"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0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5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0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99"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公开04表</w:t>
            </w:r>
          </w:p>
        </w:tc>
      </w:tr>
      <w:tr>
        <w:tblPrEx>
          <w:tblCellMar>
            <w:top w:w="0" w:type="dxa"/>
            <w:left w:w="0" w:type="dxa"/>
            <w:bottom w:w="0" w:type="dxa"/>
            <w:right w:w="0" w:type="dxa"/>
          </w:tblCellMar>
        </w:tblPrEx>
        <w:trPr>
          <w:trHeight w:val="255" w:hRule="atLeast"/>
        </w:trPr>
        <w:tc>
          <w:tcPr>
            <w:tcW w:w="3272" w:type="dxa"/>
            <w:gridSpan w:val="3"/>
            <w:tcBorders>
              <w:top w:val="nil"/>
              <w:left w:val="nil"/>
              <w:bottom w:val="nil"/>
              <w:right w:val="nil"/>
            </w:tcBorders>
            <w:noWrap w:val="0"/>
            <w:tcMar>
              <w:top w:w="15" w:type="dxa"/>
              <w:left w:w="15" w:type="dxa"/>
              <w:right w:w="15" w:type="dxa"/>
            </w:tcMar>
            <w:vAlign w:val="bottom"/>
          </w:tcPr>
          <w:p>
            <w:pPr>
              <w:rPr>
                <w:rFonts w:hint="default" w:ascii="Arial" w:hAnsi="Arial" w:cs="Arial"/>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230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499"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0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5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999"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308" w:hRule="atLeast"/>
        </w:trPr>
        <w:tc>
          <w:tcPr>
            <w:tcW w:w="3272"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收入</w:t>
            </w:r>
          </w:p>
        </w:tc>
        <w:tc>
          <w:tcPr>
            <w:tcW w:w="6463" w:type="dxa"/>
            <w:gridSpan w:val="6"/>
            <w:tcBorders>
              <w:top w:val="single" w:color="000000" w:sz="4" w:space="0"/>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支出</w:t>
            </w:r>
          </w:p>
        </w:tc>
      </w:tr>
      <w:tr>
        <w:tblPrEx>
          <w:tblCellMar>
            <w:top w:w="0" w:type="dxa"/>
            <w:left w:w="0" w:type="dxa"/>
            <w:bottom w:w="0" w:type="dxa"/>
            <w:right w:w="0" w:type="dxa"/>
          </w:tblCellMar>
        </w:tblPrEx>
        <w:trPr>
          <w:trHeight w:val="292" w:hRule="atLeast"/>
        </w:trPr>
        <w:tc>
          <w:tcPr>
            <w:tcW w:w="1969"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369"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934"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金额</w:t>
            </w:r>
          </w:p>
        </w:tc>
        <w:tc>
          <w:tcPr>
            <w:tcW w:w="2305"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项目</w:t>
            </w:r>
          </w:p>
        </w:tc>
        <w:tc>
          <w:tcPr>
            <w:tcW w:w="499"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行次</w:t>
            </w:r>
          </w:p>
        </w:tc>
        <w:tc>
          <w:tcPr>
            <w:tcW w:w="705" w:type="dxa"/>
            <w:vMerge w:val="restart"/>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合计</w:t>
            </w:r>
          </w:p>
        </w:tc>
        <w:tc>
          <w:tcPr>
            <w:tcW w:w="955"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一般公共预算财政拨款</w:t>
            </w:r>
          </w:p>
        </w:tc>
        <w:tc>
          <w:tcPr>
            <w:tcW w:w="1000"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政府性基金预算财政拨款</w:t>
            </w:r>
          </w:p>
        </w:tc>
        <w:tc>
          <w:tcPr>
            <w:tcW w:w="999"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国有资本经营预算财政拨款</w:t>
            </w:r>
          </w:p>
        </w:tc>
      </w:tr>
      <w:tr>
        <w:tblPrEx>
          <w:tblCellMar>
            <w:top w:w="0" w:type="dxa"/>
            <w:left w:w="0" w:type="dxa"/>
            <w:bottom w:w="0" w:type="dxa"/>
            <w:right w:w="0" w:type="dxa"/>
          </w:tblCellMar>
        </w:tblPrEx>
        <w:trPr>
          <w:trHeight w:val="615" w:hRule="atLeast"/>
        </w:trPr>
        <w:tc>
          <w:tcPr>
            <w:tcW w:w="1969"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369"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34"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2305"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499"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05"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55"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100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99"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栏次</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5"/>
                <w:szCs w:val="15"/>
                <w:u w:val="none"/>
              </w:rPr>
            </w:pP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w:t>
            </w: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w:t>
            </w: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一、一般公共预算财政拨款</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8,690.03</w:t>
            </w: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一、一般公共服务支出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33</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420"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二、政府性基金预算财政拨款</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二、外交支出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34</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440"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三、国有资本经营预算财政拨款</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三、国防支出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35</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四、公共安全支出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36</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五、教育支出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37</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六、科学技术支出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38</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7</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七、文化旅游体育与传媒支出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39</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8</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八、社会保障和就业支出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40</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514.80</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514.80</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9</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九、卫生健康支出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41</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480.97</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480.97</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10</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十、节能环保支出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42</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11</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十一、城乡社区支出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43</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12</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十二、农林水支出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44</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13</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十三、交通运输支出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45</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14</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十四、资源勘探工业信息等支出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46</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15</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十五、商业服务业等支出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47</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16</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十六、金融支出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48</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17</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十七、援助其他地区支出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49</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18</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十八、自然资源海洋气象等支出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50</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19</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十九、住房保障支出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51</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610.96</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610.96</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20</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二十、粮油物资储备支出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52</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21</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二十一、国有资本经营预算支出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53</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22</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二十二、灾害防治及应急管理支出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54</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6,916.41</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6,916.41</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23</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二十三、其他支出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55</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24</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二十四、债务还本支出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56</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25</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二十五、债务付息支出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57</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26</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二十六、抗疫特别国债安排的支出</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58</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本年收入合计</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27</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8,690.03</w:t>
            </w: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本年支出合计</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59</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8,523.14</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8,523.14</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年初财政拨款结转和结余</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28</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3,581.71</w:t>
            </w: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年末财政拨款结转和结余</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60</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3,748.61</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3,748.61</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一般公共预算财政拨款</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29</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3,581.71</w:t>
            </w: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61</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政府性基金预算财政拨款</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30</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62</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国有资本经营预算财政拨款</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31</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5"/>
                <w:szCs w:val="15"/>
                <w:u w:val="none"/>
              </w:rPr>
            </w:pP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63</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snapToGrid w:val="0"/>
                <w:color w:val="000000"/>
                <w:kern w:val="0"/>
                <w:sz w:val="15"/>
                <w:szCs w:val="15"/>
                <w:u w:val="none"/>
                <w:lang w:val="en-US" w:eastAsia="zh-CN" w:bidi="ar"/>
              </w:rPr>
            </w:pP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1969"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总计</w:t>
            </w:r>
          </w:p>
        </w:tc>
        <w:tc>
          <w:tcPr>
            <w:tcW w:w="36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32</w:t>
            </w:r>
          </w:p>
        </w:tc>
        <w:tc>
          <w:tcPr>
            <w:tcW w:w="93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12,271.74</w:t>
            </w:r>
          </w:p>
        </w:tc>
        <w:tc>
          <w:tcPr>
            <w:tcW w:w="23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5"/>
                <w:szCs w:val="15"/>
                <w:u w:val="none"/>
              </w:rPr>
            </w:pPr>
            <w:r>
              <w:rPr>
                <w:rFonts w:hint="eastAsia" w:ascii="宋体" w:hAnsi="宋体" w:eastAsia="宋体" w:cs="宋体"/>
                <w:b/>
                <w:i w:val="0"/>
                <w:snapToGrid w:val="0"/>
                <w:color w:val="000000"/>
                <w:kern w:val="0"/>
                <w:sz w:val="15"/>
                <w:szCs w:val="15"/>
                <w:u w:val="none"/>
                <w:lang w:val="en-US" w:eastAsia="zh-CN" w:bidi="ar"/>
              </w:rPr>
              <w:t>总计</w:t>
            </w:r>
          </w:p>
        </w:tc>
        <w:tc>
          <w:tcPr>
            <w:tcW w:w="4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snapToGrid w:val="0"/>
                <w:color w:val="000000"/>
                <w:kern w:val="0"/>
                <w:sz w:val="15"/>
                <w:szCs w:val="15"/>
                <w:u w:val="none"/>
                <w:lang w:val="en-US" w:eastAsia="zh-CN" w:bidi="ar"/>
              </w:rPr>
              <w:t>64</w:t>
            </w:r>
          </w:p>
        </w:tc>
        <w:tc>
          <w:tcPr>
            <w:tcW w:w="7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12,271.74</w:t>
            </w:r>
          </w:p>
        </w:tc>
        <w:tc>
          <w:tcPr>
            <w:tcW w:w="95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12,271.74</w:t>
            </w:r>
          </w:p>
        </w:tc>
        <w:tc>
          <w:tcPr>
            <w:tcW w:w="100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c>
          <w:tcPr>
            <w:tcW w:w="99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5"/>
                <w:szCs w:val="15"/>
                <w:u w:val="none"/>
              </w:rPr>
            </w:pPr>
          </w:p>
        </w:tc>
      </w:tr>
      <w:tr>
        <w:tblPrEx>
          <w:tblCellMar>
            <w:top w:w="0" w:type="dxa"/>
            <w:left w:w="0" w:type="dxa"/>
            <w:bottom w:w="0" w:type="dxa"/>
            <w:right w:w="0" w:type="dxa"/>
          </w:tblCellMar>
        </w:tblPrEx>
        <w:trPr>
          <w:trHeight w:val="308" w:hRule="atLeast"/>
        </w:trPr>
        <w:tc>
          <w:tcPr>
            <w:tcW w:w="8736" w:type="dxa"/>
            <w:gridSpan w:val="8"/>
            <w:tcBorders>
              <w:top w:val="nil"/>
              <w:left w:val="nil"/>
              <w:bottom w:val="nil"/>
              <w:right w:val="nil"/>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注：本表反映部门本年度一般公共预算财政拨款、政府性基金预算财政拨款和国有资本经营预算财政拨款的总收支和年末结转结余情况。</w:t>
            </w:r>
          </w:p>
        </w:tc>
        <w:tc>
          <w:tcPr>
            <w:tcW w:w="999" w:type="dxa"/>
            <w:tcBorders>
              <w:top w:val="nil"/>
              <w:left w:val="nil"/>
              <w:bottom w:val="nil"/>
              <w:right w:val="nil"/>
            </w:tcBorders>
            <w:noWrap/>
            <w:tcMar>
              <w:top w:w="15" w:type="dxa"/>
              <w:left w:w="15" w:type="dxa"/>
              <w:right w:w="15" w:type="dxa"/>
            </w:tcMar>
            <w:vAlign w:val="center"/>
          </w:tcPr>
          <w:p>
            <w:pPr>
              <w:jc w:val="left"/>
              <w:rPr>
                <w:rFonts w:hint="eastAsia" w:ascii="宋体" w:hAnsi="宋体" w:eastAsia="宋体" w:cs="宋体"/>
                <w:i w:val="0"/>
                <w:color w:val="000000"/>
                <w:sz w:val="16"/>
                <w:szCs w:val="16"/>
                <w:u w:val="none"/>
              </w:rPr>
            </w:pPr>
          </w:p>
        </w:tc>
      </w:tr>
    </w:tbl>
    <w:p>
      <w:pPr>
        <w:pStyle w:val="2"/>
        <w:ind w:left="0" w:leftChars="0" w:firstLine="0" w:firstLineChars="0"/>
        <w:rPr>
          <w:rFonts w:ascii="宋体" w:hAnsi="宋体" w:eastAsia="宋体" w:cs="宋体"/>
          <w:spacing w:val="3"/>
          <w:sz w:val="15"/>
          <w:szCs w:val="15"/>
        </w:rPr>
      </w:pPr>
    </w:p>
    <w:tbl>
      <w:tblPr>
        <w:tblStyle w:val="9"/>
        <w:tblpPr w:leftFromText="180" w:rightFromText="180" w:vertAnchor="text" w:horzAnchor="page" w:tblpX="1251" w:tblpY="238"/>
        <w:tblOverlap w:val="never"/>
        <w:tblW w:w="9480" w:type="dxa"/>
        <w:tblInd w:w="0" w:type="dxa"/>
        <w:tblLayout w:type="fixed"/>
        <w:tblCellMar>
          <w:top w:w="0" w:type="dxa"/>
          <w:left w:w="0" w:type="dxa"/>
          <w:bottom w:w="0" w:type="dxa"/>
          <w:right w:w="0" w:type="dxa"/>
        </w:tblCellMar>
      </w:tblPr>
      <w:tblGrid>
        <w:gridCol w:w="1148"/>
        <w:gridCol w:w="2977"/>
        <w:gridCol w:w="1635"/>
        <w:gridCol w:w="1830"/>
        <w:gridCol w:w="1890"/>
      </w:tblGrid>
      <w:tr>
        <w:tblPrEx>
          <w:tblCellMar>
            <w:top w:w="0" w:type="dxa"/>
            <w:left w:w="0" w:type="dxa"/>
            <w:bottom w:w="0" w:type="dxa"/>
            <w:right w:w="0" w:type="dxa"/>
          </w:tblCellMar>
        </w:tblPrEx>
        <w:trPr>
          <w:trHeight w:val="814" w:hRule="atLeast"/>
        </w:trPr>
        <w:tc>
          <w:tcPr>
            <w:tcW w:w="9480" w:type="dxa"/>
            <w:gridSpan w:val="5"/>
            <w:tcBorders>
              <w:top w:val="nil"/>
              <w:left w:val="nil"/>
              <w:bottom w:val="nil"/>
              <w:right w:val="nil"/>
            </w:tcBorders>
            <w:noWrap/>
            <w:tcMar>
              <w:top w:w="15" w:type="dxa"/>
              <w:left w:w="15" w:type="dxa"/>
              <w:right w:w="15" w:type="dxa"/>
            </w:tcMar>
            <w:vAlign w:val="bottom"/>
          </w:tcPr>
          <w:p>
            <w:pPr>
              <w:keepNext w:val="0"/>
              <w:keepLines w:val="0"/>
              <w:widowControl/>
              <w:suppressLineNumbers w:val="0"/>
              <w:jc w:val="both"/>
              <w:textAlignment w:val="bottom"/>
              <w:rPr>
                <w:rFonts w:hint="eastAsia" w:ascii="宋体" w:hAnsi="宋体" w:eastAsia="宋体" w:cs="宋体"/>
                <w:i w:val="0"/>
                <w:snapToGrid w:val="0"/>
                <w:color w:val="000000"/>
                <w:kern w:val="0"/>
                <w:sz w:val="30"/>
                <w:szCs w:val="30"/>
                <w:u w:val="none"/>
                <w:lang w:val="en-US" w:eastAsia="zh-CN" w:bidi="ar"/>
              </w:rPr>
            </w:pPr>
          </w:p>
          <w:p>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一般公共预算财政拨款支出决算表</w:t>
            </w:r>
          </w:p>
        </w:tc>
      </w:tr>
      <w:tr>
        <w:tblPrEx>
          <w:tblCellMar>
            <w:top w:w="0" w:type="dxa"/>
            <w:left w:w="0" w:type="dxa"/>
            <w:bottom w:w="0" w:type="dxa"/>
            <w:right w:w="0" w:type="dxa"/>
          </w:tblCellMar>
        </w:tblPrEx>
        <w:trPr>
          <w:trHeight w:val="366" w:hRule="atLeast"/>
        </w:trPr>
        <w:tc>
          <w:tcPr>
            <w:tcW w:w="1148"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2977"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63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83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890"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公开05表</w:t>
            </w:r>
          </w:p>
        </w:tc>
      </w:tr>
      <w:tr>
        <w:tblPrEx>
          <w:tblCellMar>
            <w:top w:w="0" w:type="dxa"/>
            <w:left w:w="0" w:type="dxa"/>
            <w:bottom w:w="0" w:type="dxa"/>
            <w:right w:w="0" w:type="dxa"/>
          </w:tblCellMar>
        </w:tblPrEx>
        <w:trPr>
          <w:trHeight w:val="366" w:hRule="atLeast"/>
        </w:trPr>
        <w:tc>
          <w:tcPr>
            <w:tcW w:w="4125"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163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83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890"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454" w:hRule="atLeast"/>
        </w:trPr>
        <w:tc>
          <w:tcPr>
            <w:tcW w:w="4125"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项目</w:t>
            </w:r>
          </w:p>
        </w:tc>
        <w:tc>
          <w:tcPr>
            <w:tcW w:w="5355" w:type="dxa"/>
            <w:gridSpan w:val="3"/>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本年支出</w:t>
            </w:r>
          </w:p>
        </w:tc>
      </w:tr>
      <w:tr>
        <w:tblPrEx>
          <w:tblCellMar>
            <w:top w:w="0" w:type="dxa"/>
            <w:left w:w="0" w:type="dxa"/>
            <w:bottom w:w="0" w:type="dxa"/>
            <w:right w:w="0" w:type="dxa"/>
          </w:tblCellMar>
        </w:tblPrEx>
        <w:trPr>
          <w:trHeight w:val="429" w:hRule="atLeast"/>
        </w:trPr>
        <w:tc>
          <w:tcPr>
            <w:tcW w:w="1148"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2977" w:type="dxa"/>
            <w:vMerge w:val="restart"/>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1635"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小计</w:t>
            </w:r>
          </w:p>
        </w:tc>
        <w:tc>
          <w:tcPr>
            <w:tcW w:w="1830"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基本支出</w:t>
            </w:r>
          </w:p>
        </w:tc>
        <w:tc>
          <w:tcPr>
            <w:tcW w:w="1890"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项目支出</w:t>
            </w:r>
          </w:p>
        </w:tc>
      </w:tr>
      <w:tr>
        <w:tblPrEx>
          <w:tblCellMar>
            <w:top w:w="0" w:type="dxa"/>
            <w:left w:w="0" w:type="dxa"/>
            <w:bottom w:w="0" w:type="dxa"/>
            <w:right w:w="0" w:type="dxa"/>
          </w:tblCellMar>
        </w:tblPrEx>
        <w:trPr>
          <w:trHeight w:val="389" w:hRule="atLeast"/>
        </w:trPr>
        <w:tc>
          <w:tcPr>
            <w:tcW w:w="1148"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977"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635"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83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89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12" w:hRule="atLeast"/>
        </w:trPr>
        <w:tc>
          <w:tcPr>
            <w:tcW w:w="1148"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977"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635"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83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89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429" w:hRule="atLeast"/>
        </w:trPr>
        <w:tc>
          <w:tcPr>
            <w:tcW w:w="4125"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栏次</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1</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w:t>
            </w:r>
          </w:p>
        </w:tc>
      </w:tr>
      <w:tr>
        <w:tblPrEx>
          <w:tblCellMar>
            <w:top w:w="0" w:type="dxa"/>
            <w:left w:w="0" w:type="dxa"/>
            <w:bottom w:w="0" w:type="dxa"/>
            <w:right w:w="0" w:type="dxa"/>
          </w:tblCellMar>
        </w:tblPrEx>
        <w:trPr>
          <w:trHeight w:val="429" w:hRule="atLeast"/>
        </w:trPr>
        <w:tc>
          <w:tcPr>
            <w:tcW w:w="4125"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合计</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eastAsia" w:ascii="宋体" w:hAnsi="宋体" w:eastAsia="宋体" w:cs="宋体"/>
                <w:b/>
                <w:bCs/>
                <w:i w:val="0"/>
                <w:snapToGrid w:val="0"/>
                <w:color w:val="000000"/>
                <w:kern w:val="0"/>
                <w:sz w:val="15"/>
                <w:szCs w:val="15"/>
                <w:u w:val="none"/>
                <w:lang w:val="en-US" w:eastAsia="zh-CN" w:bidi="ar"/>
              </w:rPr>
              <w:t>8,523.14</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eastAsia" w:ascii="宋体" w:hAnsi="宋体" w:eastAsia="宋体" w:cs="宋体"/>
                <w:b/>
                <w:bCs/>
                <w:i w:val="0"/>
                <w:snapToGrid w:val="0"/>
                <w:color w:val="000000"/>
                <w:kern w:val="0"/>
                <w:sz w:val="15"/>
                <w:szCs w:val="15"/>
                <w:u w:val="none"/>
                <w:lang w:val="en-US" w:eastAsia="zh-CN" w:bidi="ar"/>
              </w:rPr>
              <w:t>7,947.35</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eastAsia" w:ascii="宋体" w:hAnsi="宋体" w:eastAsia="宋体" w:cs="宋体"/>
                <w:b/>
                <w:bCs/>
                <w:i w:val="0"/>
                <w:snapToGrid w:val="0"/>
                <w:color w:val="000000"/>
                <w:kern w:val="0"/>
                <w:sz w:val="15"/>
                <w:szCs w:val="15"/>
                <w:u w:val="none"/>
                <w:lang w:val="en-US" w:eastAsia="zh-CN" w:bidi="ar"/>
              </w:rPr>
              <w:t>575.78</w:t>
            </w: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snapToGrid w:val="0"/>
                <w:color w:val="000000"/>
                <w:kern w:val="0"/>
                <w:sz w:val="16"/>
                <w:szCs w:val="16"/>
                <w:u w:val="none"/>
                <w:lang w:val="en-US" w:eastAsia="zh-CN" w:bidi="ar"/>
              </w:rPr>
            </w:pPr>
            <w:r>
              <w:rPr>
                <w:rFonts w:hint="eastAsia" w:ascii="宋体" w:hAnsi="宋体" w:eastAsia="宋体" w:cs="宋体"/>
                <w:b/>
                <w:bCs/>
                <w:i w:val="0"/>
                <w:snapToGrid w:val="0"/>
                <w:color w:val="000000"/>
                <w:kern w:val="0"/>
                <w:sz w:val="16"/>
                <w:szCs w:val="16"/>
                <w:u w:val="none"/>
                <w:lang w:val="en-US" w:eastAsia="zh-CN" w:bidi="ar"/>
              </w:rPr>
              <w:t>208</w:t>
            </w:r>
          </w:p>
        </w:tc>
        <w:tc>
          <w:tcPr>
            <w:tcW w:w="297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snapToGrid w:val="0"/>
                <w:color w:val="000000"/>
                <w:kern w:val="0"/>
                <w:sz w:val="16"/>
                <w:szCs w:val="16"/>
                <w:u w:val="none"/>
                <w:lang w:val="en-US" w:eastAsia="zh-CN" w:bidi="ar"/>
              </w:rPr>
            </w:pPr>
            <w:r>
              <w:rPr>
                <w:rFonts w:hint="eastAsia" w:ascii="宋体" w:hAnsi="宋体" w:eastAsia="宋体" w:cs="宋体"/>
                <w:b/>
                <w:bCs/>
                <w:i w:val="0"/>
                <w:snapToGrid w:val="0"/>
                <w:color w:val="000000"/>
                <w:kern w:val="0"/>
                <w:sz w:val="16"/>
                <w:szCs w:val="16"/>
                <w:u w:val="none"/>
                <w:lang w:val="en-US" w:eastAsia="zh-CN" w:bidi="ar"/>
              </w:rPr>
              <w:t>社会保障和就业支出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default" w:ascii="宋体" w:hAnsi="宋体" w:eastAsia="宋体" w:cs="宋体"/>
                <w:b/>
                <w:bCs/>
                <w:i w:val="0"/>
                <w:snapToGrid w:val="0"/>
                <w:color w:val="000000"/>
                <w:kern w:val="0"/>
                <w:sz w:val="15"/>
                <w:szCs w:val="15"/>
                <w:u w:val="none"/>
                <w:lang w:val="en-US" w:eastAsia="zh-CN" w:bidi="ar"/>
              </w:rPr>
              <w:t>514.8</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default" w:ascii="宋体" w:hAnsi="宋体" w:eastAsia="宋体" w:cs="宋体"/>
                <w:b/>
                <w:bCs/>
                <w:i w:val="0"/>
                <w:snapToGrid w:val="0"/>
                <w:color w:val="000000"/>
                <w:kern w:val="0"/>
                <w:sz w:val="15"/>
                <w:szCs w:val="15"/>
                <w:u w:val="none"/>
                <w:lang w:val="en-US" w:eastAsia="zh-CN" w:bidi="ar"/>
              </w:rPr>
              <w:t>514.8</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20805</w:t>
            </w:r>
          </w:p>
        </w:tc>
        <w:tc>
          <w:tcPr>
            <w:tcW w:w="297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行政事业单位养老支出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514.8</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514.8</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2080505</w:t>
            </w:r>
          </w:p>
        </w:tc>
        <w:tc>
          <w:tcPr>
            <w:tcW w:w="297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机关事业单位基本养老保险缴费支出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343.2</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343.2</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2080506</w:t>
            </w:r>
          </w:p>
        </w:tc>
        <w:tc>
          <w:tcPr>
            <w:tcW w:w="2977"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机关事业单位职业年金缴费支出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171.6</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171.6</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210</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卫生健康支出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eastAsia" w:ascii="宋体" w:hAnsi="宋体" w:eastAsia="宋体" w:cs="宋体"/>
                <w:b/>
                <w:bCs/>
                <w:i w:val="0"/>
                <w:snapToGrid w:val="0"/>
                <w:color w:val="000000"/>
                <w:kern w:val="0"/>
                <w:sz w:val="15"/>
                <w:szCs w:val="15"/>
                <w:u w:val="none"/>
                <w:lang w:val="en-US" w:eastAsia="zh-CN" w:bidi="ar"/>
              </w:rPr>
              <w:t>480.97</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eastAsia" w:ascii="宋体" w:hAnsi="宋体" w:eastAsia="宋体" w:cs="宋体"/>
                <w:b/>
                <w:bCs/>
                <w:i w:val="0"/>
                <w:snapToGrid w:val="0"/>
                <w:color w:val="000000"/>
                <w:kern w:val="0"/>
                <w:sz w:val="15"/>
                <w:szCs w:val="15"/>
                <w:u w:val="none"/>
                <w:lang w:val="en-US" w:eastAsia="zh-CN" w:bidi="ar"/>
              </w:rPr>
              <w:t>480.97</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21011</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行政事业单位医疗</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480.97</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480.97</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2101101</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行政单位医疗</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434.03</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434.03</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2101199</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其他行政事业单位医疗支出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46.94</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46.94</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221</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住房保障支出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bCs/>
                <w:i w:val="0"/>
                <w:snapToGrid w:val="0"/>
                <w:color w:val="000000"/>
                <w:kern w:val="0"/>
                <w:sz w:val="15"/>
                <w:szCs w:val="15"/>
                <w:u w:val="none"/>
                <w:lang w:val="en-US" w:eastAsia="zh-CN" w:bidi="ar"/>
              </w:rPr>
            </w:pPr>
            <w:r>
              <w:rPr>
                <w:rFonts w:hint="default" w:ascii="宋体" w:hAnsi="宋体" w:eastAsia="宋体" w:cs="宋体"/>
                <w:b/>
                <w:bCs/>
                <w:i w:val="0"/>
                <w:snapToGrid w:val="0"/>
                <w:color w:val="000000"/>
                <w:kern w:val="0"/>
                <w:sz w:val="15"/>
                <w:szCs w:val="15"/>
                <w:u w:val="none"/>
                <w:lang w:val="en-US" w:eastAsia="zh-CN" w:bidi="ar"/>
              </w:rPr>
              <w:t>610.96</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bCs/>
                <w:i w:val="0"/>
                <w:snapToGrid w:val="0"/>
                <w:color w:val="000000"/>
                <w:kern w:val="0"/>
                <w:sz w:val="15"/>
                <w:szCs w:val="15"/>
                <w:u w:val="none"/>
                <w:lang w:val="en-US" w:eastAsia="zh-CN" w:bidi="ar"/>
              </w:rPr>
            </w:pPr>
            <w:r>
              <w:rPr>
                <w:rFonts w:hint="default" w:ascii="宋体" w:hAnsi="宋体" w:eastAsia="宋体" w:cs="宋体"/>
                <w:b/>
                <w:bCs/>
                <w:i w:val="0"/>
                <w:snapToGrid w:val="0"/>
                <w:color w:val="000000"/>
                <w:kern w:val="0"/>
                <w:sz w:val="15"/>
                <w:szCs w:val="15"/>
                <w:u w:val="none"/>
                <w:lang w:val="en-US" w:eastAsia="zh-CN" w:bidi="ar"/>
              </w:rPr>
              <w:t>610.96</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22102</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住房改革支出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610.96</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610.96</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2210201</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住房公积金</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610.96</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610.96</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224</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灾害防治及应急管理支出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eastAsia" w:ascii="宋体" w:hAnsi="宋体" w:eastAsia="宋体" w:cs="宋体"/>
                <w:b/>
                <w:bCs/>
                <w:i w:val="0"/>
                <w:snapToGrid w:val="0"/>
                <w:color w:val="000000"/>
                <w:kern w:val="0"/>
                <w:sz w:val="15"/>
                <w:szCs w:val="15"/>
                <w:u w:val="none"/>
                <w:lang w:val="en-US" w:eastAsia="zh-CN" w:bidi="ar"/>
              </w:rPr>
              <w:t>6916.41</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bCs/>
                <w:i w:val="0"/>
                <w:snapToGrid w:val="0"/>
                <w:color w:val="000000"/>
                <w:kern w:val="0"/>
                <w:sz w:val="15"/>
                <w:szCs w:val="15"/>
                <w:u w:val="none"/>
                <w:lang w:val="en-US" w:eastAsia="zh-CN" w:bidi="ar"/>
              </w:rPr>
            </w:pPr>
            <w:r>
              <w:rPr>
                <w:rFonts w:hint="default" w:ascii="宋体" w:hAnsi="宋体" w:eastAsia="宋体" w:cs="宋体"/>
                <w:b/>
                <w:bCs/>
                <w:i w:val="0"/>
                <w:snapToGrid w:val="0"/>
                <w:color w:val="000000"/>
                <w:kern w:val="0"/>
                <w:sz w:val="15"/>
                <w:szCs w:val="15"/>
                <w:u w:val="none"/>
                <w:lang w:val="en-US" w:eastAsia="zh-CN" w:bidi="ar"/>
              </w:rPr>
              <w:t>6340.63</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5"/>
                <w:szCs w:val="15"/>
                <w:u w:val="none"/>
                <w:lang w:val="en-US" w:eastAsia="zh-CN" w:bidi="ar"/>
              </w:rPr>
            </w:pPr>
            <w:r>
              <w:rPr>
                <w:rFonts w:hint="eastAsia" w:ascii="宋体" w:hAnsi="宋体" w:eastAsia="宋体" w:cs="宋体"/>
                <w:b/>
                <w:bCs/>
                <w:i w:val="0"/>
                <w:snapToGrid w:val="0"/>
                <w:color w:val="000000"/>
                <w:kern w:val="0"/>
                <w:sz w:val="15"/>
                <w:szCs w:val="15"/>
                <w:u w:val="none"/>
                <w:lang w:val="en-US" w:eastAsia="zh-CN" w:bidi="ar"/>
              </w:rPr>
              <w:t>575.78</w:t>
            </w: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22402</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消防救援事务</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6916.41</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6340.63</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575.78</w:t>
            </w: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2240201</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行政运行</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 w:eastAsia="zh-CN" w:bidi="ar"/>
              </w:rPr>
            </w:pPr>
            <w:r>
              <w:rPr>
                <w:rFonts w:hint="default" w:ascii="宋体" w:hAnsi="宋体" w:eastAsia="宋体" w:cs="宋体"/>
                <w:i w:val="0"/>
                <w:snapToGrid w:val="0"/>
                <w:color w:val="000000"/>
                <w:kern w:val="0"/>
                <w:sz w:val="15"/>
                <w:szCs w:val="15"/>
                <w:u w:val="none"/>
                <w:lang w:val="en-US" w:eastAsia="zh-CN" w:bidi="ar"/>
              </w:rPr>
              <w:t>6014.29</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6014.29</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2240204</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消防应急救援</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575.78</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575.78</w:t>
            </w:r>
          </w:p>
        </w:tc>
      </w:tr>
      <w:tr>
        <w:tblPrEx>
          <w:tblCellMar>
            <w:top w:w="0" w:type="dxa"/>
            <w:left w:w="0" w:type="dxa"/>
            <w:bottom w:w="0" w:type="dxa"/>
            <w:right w:w="0" w:type="dxa"/>
          </w:tblCellMar>
        </w:tblPrEx>
        <w:trPr>
          <w:trHeight w:val="429" w:hRule="atLeast"/>
        </w:trPr>
        <w:tc>
          <w:tcPr>
            <w:tcW w:w="114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snapToGrid w:val="0"/>
                <w:color w:val="000000"/>
                <w:kern w:val="0"/>
                <w:sz w:val="16"/>
                <w:szCs w:val="16"/>
                <w:u w:val="none"/>
                <w:lang w:val="en" w:eastAsia="zh-CN" w:bidi="ar"/>
              </w:rPr>
            </w:pPr>
            <w:r>
              <w:rPr>
                <w:rFonts w:hint="default" w:ascii="宋体" w:hAnsi="宋体" w:eastAsia="宋体" w:cs="宋体"/>
                <w:i w:val="0"/>
                <w:snapToGrid w:val="0"/>
                <w:color w:val="000000"/>
                <w:kern w:val="0"/>
                <w:sz w:val="16"/>
                <w:szCs w:val="16"/>
                <w:u w:val="none"/>
                <w:lang w:val="en" w:eastAsia="zh-CN" w:bidi="ar"/>
              </w:rPr>
              <w:t>2240299</w:t>
            </w:r>
          </w:p>
        </w:tc>
        <w:tc>
          <w:tcPr>
            <w:tcW w:w="2977"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其他消防救援事务支出</w:t>
            </w:r>
          </w:p>
        </w:tc>
        <w:tc>
          <w:tcPr>
            <w:tcW w:w="163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5"/>
                <w:szCs w:val="15"/>
                <w:u w:val="none"/>
                <w:lang w:val="en-US" w:eastAsia="zh-CN" w:bidi="ar"/>
              </w:rPr>
            </w:pPr>
            <w:r>
              <w:rPr>
                <w:rFonts w:hint="default" w:ascii="宋体" w:hAnsi="宋体" w:eastAsia="宋体" w:cs="宋体"/>
                <w:i w:val="0"/>
                <w:snapToGrid w:val="0"/>
                <w:color w:val="000000"/>
                <w:kern w:val="0"/>
                <w:sz w:val="15"/>
                <w:szCs w:val="15"/>
                <w:u w:val="none"/>
                <w:lang w:val="en-US" w:eastAsia="zh-CN" w:bidi="ar"/>
              </w:rPr>
              <w:t>326.33</w:t>
            </w:r>
          </w:p>
        </w:tc>
        <w:tc>
          <w:tcPr>
            <w:tcW w:w="18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r>
              <w:rPr>
                <w:rFonts w:hint="eastAsia" w:ascii="宋体" w:hAnsi="宋体" w:eastAsia="宋体" w:cs="宋体"/>
                <w:i w:val="0"/>
                <w:snapToGrid w:val="0"/>
                <w:color w:val="000000"/>
                <w:kern w:val="0"/>
                <w:sz w:val="15"/>
                <w:szCs w:val="15"/>
                <w:u w:val="none"/>
                <w:lang w:val="en-US" w:eastAsia="zh-CN" w:bidi="ar"/>
              </w:rPr>
              <w:t>326.33</w:t>
            </w:r>
          </w:p>
        </w:tc>
        <w:tc>
          <w:tcPr>
            <w:tcW w:w="18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5"/>
                <w:szCs w:val="15"/>
                <w:u w:val="none"/>
                <w:lang w:val="en-US" w:eastAsia="zh-CN" w:bidi="ar"/>
              </w:rPr>
            </w:pPr>
          </w:p>
        </w:tc>
      </w:tr>
      <w:tr>
        <w:tblPrEx>
          <w:tblCellMar>
            <w:top w:w="0" w:type="dxa"/>
            <w:left w:w="0" w:type="dxa"/>
            <w:bottom w:w="0" w:type="dxa"/>
            <w:right w:w="0" w:type="dxa"/>
          </w:tblCellMar>
        </w:tblPrEx>
        <w:trPr>
          <w:trHeight w:val="429" w:hRule="atLeast"/>
        </w:trPr>
        <w:tc>
          <w:tcPr>
            <w:tcW w:w="9480" w:type="dxa"/>
            <w:gridSpan w:val="5"/>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16"/>
                <w:szCs w:val="16"/>
                <w:u w:val="none"/>
                <w:lang w:val="en-US" w:eastAsia="zh-CN" w:bidi="ar"/>
              </w:rPr>
              <w:t>注：本表反映部门本年度一般公共预算财政拨款支出情况。</w:t>
            </w:r>
          </w:p>
        </w:tc>
      </w:tr>
    </w:tbl>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p>
      <w:pPr>
        <w:pStyle w:val="2"/>
        <w:ind w:left="0" w:leftChars="0" w:firstLine="0" w:firstLineChars="0"/>
        <w:rPr>
          <w:rFonts w:ascii="宋体" w:hAnsi="宋体" w:eastAsia="宋体" w:cs="宋体"/>
          <w:spacing w:val="3"/>
          <w:sz w:val="15"/>
          <w:szCs w:val="15"/>
        </w:rPr>
      </w:pPr>
    </w:p>
    <w:p>
      <w:pPr>
        <w:spacing w:before="75" w:line="216" w:lineRule="auto"/>
        <w:rPr>
          <w:rFonts w:ascii="宋体" w:hAnsi="宋体" w:eastAsia="宋体" w:cs="宋体"/>
          <w:spacing w:val="-6"/>
          <w:sz w:val="17"/>
          <w:szCs w:val="17"/>
        </w:rPr>
      </w:pPr>
    </w:p>
    <w:tbl>
      <w:tblPr>
        <w:tblStyle w:val="9"/>
        <w:tblpPr w:leftFromText="180" w:rightFromText="180" w:vertAnchor="text" w:horzAnchor="page" w:tblpX="1026" w:tblpY="155"/>
        <w:tblOverlap w:val="never"/>
        <w:tblW w:w="9875" w:type="dxa"/>
        <w:tblInd w:w="0" w:type="dxa"/>
        <w:tblLayout w:type="fixed"/>
        <w:tblCellMar>
          <w:top w:w="0" w:type="dxa"/>
          <w:left w:w="0" w:type="dxa"/>
          <w:bottom w:w="0" w:type="dxa"/>
          <w:right w:w="0" w:type="dxa"/>
        </w:tblCellMar>
      </w:tblPr>
      <w:tblGrid>
        <w:gridCol w:w="788"/>
        <w:gridCol w:w="2362"/>
        <w:gridCol w:w="983"/>
        <w:gridCol w:w="580"/>
        <w:gridCol w:w="1362"/>
        <w:gridCol w:w="775"/>
        <w:gridCol w:w="738"/>
        <w:gridCol w:w="1575"/>
        <w:gridCol w:w="712"/>
      </w:tblGrid>
      <w:tr>
        <w:tblPrEx>
          <w:tblCellMar>
            <w:top w:w="0" w:type="dxa"/>
            <w:left w:w="0" w:type="dxa"/>
            <w:bottom w:w="0" w:type="dxa"/>
            <w:right w:w="0" w:type="dxa"/>
          </w:tblCellMar>
        </w:tblPrEx>
        <w:trPr>
          <w:trHeight w:val="390" w:hRule="atLeast"/>
        </w:trPr>
        <w:tc>
          <w:tcPr>
            <w:tcW w:w="9875" w:type="dxa"/>
            <w:gridSpan w:val="9"/>
            <w:tcBorders>
              <w:top w:val="nil"/>
              <w:left w:val="nil"/>
              <w:bottom w:val="nil"/>
              <w:right w:val="nil"/>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一般公共预算财政拨款基本支出决算明细表</w:t>
            </w:r>
          </w:p>
        </w:tc>
      </w:tr>
      <w:tr>
        <w:tblPrEx>
          <w:tblCellMar>
            <w:top w:w="0" w:type="dxa"/>
            <w:left w:w="0" w:type="dxa"/>
            <w:bottom w:w="0" w:type="dxa"/>
            <w:right w:w="0" w:type="dxa"/>
          </w:tblCellMar>
        </w:tblPrEx>
        <w:trPr>
          <w:trHeight w:val="255" w:hRule="atLeast"/>
        </w:trPr>
        <w:tc>
          <w:tcPr>
            <w:tcW w:w="788"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2362"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83"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58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362"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7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38"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57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12"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18"/>
                <w:szCs w:val="18"/>
                <w:u w:val="none"/>
              </w:rPr>
            </w:pPr>
            <w:r>
              <w:rPr>
                <w:rFonts w:hint="eastAsia" w:ascii="宋体" w:hAnsi="宋体" w:eastAsia="宋体" w:cs="宋体"/>
                <w:i w:val="0"/>
                <w:snapToGrid w:val="0"/>
                <w:color w:val="000000"/>
                <w:kern w:val="0"/>
                <w:sz w:val="15"/>
                <w:szCs w:val="15"/>
                <w:u w:val="none"/>
                <w:lang w:val="en-US" w:eastAsia="zh-CN" w:bidi="ar"/>
              </w:rPr>
              <w:t>公开06表</w:t>
            </w:r>
          </w:p>
        </w:tc>
      </w:tr>
      <w:tr>
        <w:tblPrEx>
          <w:tblCellMar>
            <w:top w:w="0" w:type="dxa"/>
            <w:left w:w="0" w:type="dxa"/>
            <w:bottom w:w="0" w:type="dxa"/>
            <w:right w:w="0" w:type="dxa"/>
          </w:tblCellMar>
        </w:tblPrEx>
        <w:trPr>
          <w:trHeight w:val="255" w:hRule="atLeast"/>
        </w:trPr>
        <w:tc>
          <w:tcPr>
            <w:tcW w:w="3150"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983"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58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362"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7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38"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2287"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18"/>
                <w:szCs w:val="18"/>
                <w:u w:val="none"/>
              </w:rPr>
            </w:pPr>
            <w:r>
              <w:rPr>
                <w:rFonts w:hint="eastAsia" w:ascii="宋体" w:hAnsi="宋体" w:eastAsia="宋体" w:cs="宋体"/>
                <w:i w:val="0"/>
                <w:snapToGrid w:val="0"/>
                <w:color w:val="000000"/>
                <w:kern w:val="0"/>
                <w:sz w:val="18"/>
                <w:szCs w:val="18"/>
                <w:u w:val="none"/>
                <w:lang w:val="en-US" w:eastAsia="zh-CN" w:bidi="ar"/>
              </w:rPr>
              <w:t>金额单位：万元</w:t>
            </w:r>
          </w:p>
        </w:tc>
      </w:tr>
      <w:tr>
        <w:tblPrEx>
          <w:tblCellMar>
            <w:top w:w="0" w:type="dxa"/>
            <w:left w:w="0" w:type="dxa"/>
            <w:bottom w:w="0" w:type="dxa"/>
            <w:right w:w="0" w:type="dxa"/>
          </w:tblCellMar>
        </w:tblPrEx>
        <w:trPr>
          <w:trHeight w:val="308" w:hRule="atLeast"/>
        </w:trPr>
        <w:tc>
          <w:tcPr>
            <w:tcW w:w="4133"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人员经费</w:t>
            </w:r>
          </w:p>
        </w:tc>
        <w:tc>
          <w:tcPr>
            <w:tcW w:w="5742" w:type="dxa"/>
            <w:gridSpan w:val="6"/>
            <w:tcBorders>
              <w:top w:val="single" w:color="000000" w:sz="4" w:space="0"/>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公用经费</w:t>
            </w:r>
          </w:p>
        </w:tc>
      </w:tr>
      <w:tr>
        <w:tblPrEx>
          <w:tblCellMar>
            <w:top w:w="0" w:type="dxa"/>
            <w:left w:w="0" w:type="dxa"/>
            <w:bottom w:w="0" w:type="dxa"/>
            <w:right w:w="0" w:type="dxa"/>
          </w:tblCellMar>
        </w:tblPrEx>
        <w:trPr>
          <w:trHeight w:val="308" w:hRule="atLeast"/>
        </w:trPr>
        <w:tc>
          <w:tcPr>
            <w:tcW w:w="788"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2362"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983"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决算数</w:t>
            </w:r>
          </w:p>
        </w:tc>
        <w:tc>
          <w:tcPr>
            <w:tcW w:w="580"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1362"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775"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决算数</w:t>
            </w:r>
          </w:p>
        </w:tc>
        <w:tc>
          <w:tcPr>
            <w:tcW w:w="738"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1575"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712"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决算数</w:t>
            </w:r>
          </w:p>
        </w:tc>
      </w:tr>
      <w:tr>
        <w:tblPrEx>
          <w:tblCellMar>
            <w:top w:w="0" w:type="dxa"/>
            <w:left w:w="0" w:type="dxa"/>
            <w:bottom w:w="0" w:type="dxa"/>
            <w:right w:w="0" w:type="dxa"/>
          </w:tblCellMar>
        </w:tblPrEx>
        <w:trPr>
          <w:trHeight w:val="312" w:hRule="atLeast"/>
        </w:trPr>
        <w:tc>
          <w:tcPr>
            <w:tcW w:w="788"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362"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83"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58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62"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775"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738"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575"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712"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301</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工资福利支出</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6"/>
                <w:szCs w:val="16"/>
                <w:u w:val="none"/>
                <w:lang w:val="en-US" w:eastAsia="zh-CN" w:bidi="ar"/>
              </w:rPr>
            </w:pPr>
            <w:r>
              <w:rPr>
                <w:rFonts w:hint="eastAsia" w:ascii="宋体" w:hAnsi="宋体" w:eastAsia="宋体" w:cs="宋体"/>
                <w:b/>
                <w:bCs/>
                <w:i w:val="0"/>
                <w:snapToGrid w:val="0"/>
                <w:color w:val="000000"/>
                <w:kern w:val="0"/>
                <w:sz w:val="16"/>
                <w:szCs w:val="16"/>
                <w:u w:val="none"/>
                <w:lang w:val="en-US" w:eastAsia="zh-CN" w:bidi="ar"/>
              </w:rPr>
              <w:t>7,345.87</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snapToGrid w:val="0"/>
                <w:color w:val="000000"/>
                <w:kern w:val="0"/>
                <w:sz w:val="16"/>
                <w:szCs w:val="16"/>
                <w:u w:val="none"/>
                <w:lang w:val="en-US" w:eastAsia="zh-CN" w:bidi="ar"/>
              </w:rPr>
            </w:pPr>
            <w:r>
              <w:rPr>
                <w:rFonts w:hint="eastAsia" w:ascii="宋体" w:hAnsi="宋体" w:eastAsia="宋体" w:cs="宋体"/>
                <w:b/>
                <w:bCs/>
                <w:i w:val="0"/>
                <w:snapToGrid w:val="0"/>
                <w:color w:val="000000"/>
                <w:kern w:val="0"/>
                <w:sz w:val="16"/>
                <w:szCs w:val="16"/>
                <w:u w:val="none"/>
                <w:lang w:val="en-US" w:eastAsia="zh-CN" w:bidi="ar"/>
              </w:rPr>
              <w:t>302</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商品和服务支出</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bCs/>
                <w:i w:val="0"/>
                <w:snapToGrid w:val="0"/>
                <w:color w:val="000000"/>
                <w:kern w:val="0"/>
                <w:sz w:val="16"/>
                <w:szCs w:val="16"/>
                <w:u w:val="none"/>
                <w:lang w:val="en-US" w:eastAsia="zh-CN" w:bidi="ar"/>
              </w:rPr>
            </w:pPr>
            <w:r>
              <w:rPr>
                <w:rFonts w:hint="default" w:ascii="宋体" w:hAnsi="宋体" w:eastAsia="宋体" w:cs="宋体"/>
                <w:b/>
                <w:bCs/>
                <w:i w:val="0"/>
                <w:snapToGrid w:val="0"/>
                <w:color w:val="000000"/>
                <w:kern w:val="0"/>
                <w:sz w:val="16"/>
                <w:szCs w:val="16"/>
                <w:u w:val="none"/>
                <w:lang w:val="en-US" w:eastAsia="zh-CN" w:bidi="ar"/>
              </w:rPr>
              <w:t>147.91</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307</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债务利息及费用支出</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30101</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基本工资</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2,168.26</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30201</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办公费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19.61</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30701</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国内债务付息</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30102</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津贴补贴</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3,333.90</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30202</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印刷费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30702</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国外债务付息</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30103</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奖金</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148.19</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30204</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手续费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310</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资本性支出</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30106</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伙食补助费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30205</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水费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8.15</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31001</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房屋建筑物购建</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29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30107</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绩效工资</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30206</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电费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76.70</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31002</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办公设备购置</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30108</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机关事业单位基本养老保险缴费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343.20</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30207</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邮电费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31003</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专用设备购置</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30109</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职业年金缴费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171.60</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30208</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取暖费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31005</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基础设施建设</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30110</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职工基本医疗保险缴费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434.03</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30209</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物业管理费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31006</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大型修缮</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30111</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公务员医疗补助缴费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30211</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差旅费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31007</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信息网络及软件购置更新</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30112</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其他社会保障缴费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30212</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因公出国（境）费用</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31008</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物资储备</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30113</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住房公积金</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6"/>
                <w:szCs w:val="16"/>
                <w:u w:val="none"/>
                <w:lang w:val="en-US" w:eastAsia="zh-CN" w:bidi="ar"/>
              </w:rPr>
            </w:pPr>
            <w:r>
              <w:rPr>
                <w:rFonts w:hint="default" w:ascii="宋体" w:hAnsi="宋体" w:eastAsia="宋体" w:cs="宋体"/>
                <w:i w:val="0"/>
                <w:snapToGrid w:val="0"/>
                <w:color w:val="000000"/>
                <w:kern w:val="0"/>
                <w:sz w:val="16"/>
                <w:szCs w:val="16"/>
                <w:u w:val="none"/>
                <w:lang w:val="en-US" w:eastAsia="zh-CN" w:bidi="ar"/>
              </w:rPr>
              <w:t>610.96</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30213</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维修（护）费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1</w:t>
            </w:r>
            <w:r>
              <w:rPr>
                <w:rFonts w:hint="default" w:ascii="宋体" w:hAnsi="宋体" w:eastAsia="宋体" w:cs="宋体"/>
                <w:i w:val="0"/>
                <w:snapToGrid w:val="0"/>
                <w:color w:val="000000"/>
                <w:kern w:val="0"/>
                <w:sz w:val="16"/>
                <w:szCs w:val="16"/>
                <w:u w:val="none"/>
                <w:lang w:val="en-US" w:eastAsia="zh-CN" w:bidi="ar"/>
              </w:rPr>
              <w:t>0.37</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31009</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土地补偿</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30114</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医疗费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46.94</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30214</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租赁费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26.37</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31010</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安置补助</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30199</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其他工资福利支出</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6"/>
                <w:szCs w:val="16"/>
                <w:u w:val="none"/>
                <w:lang w:val="en-US" w:eastAsia="zh-CN" w:bidi="ar"/>
              </w:rPr>
            </w:pPr>
            <w:r>
              <w:rPr>
                <w:rFonts w:hint="default" w:ascii="宋体" w:hAnsi="宋体" w:eastAsia="宋体" w:cs="宋体"/>
                <w:i w:val="0"/>
                <w:snapToGrid w:val="0"/>
                <w:color w:val="000000"/>
                <w:kern w:val="0"/>
                <w:sz w:val="16"/>
                <w:szCs w:val="16"/>
                <w:u w:val="none"/>
                <w:lang w:val="en-US" w:eastAsia="zh-CN" w:bidi="ar"/>
              </w:rPr>
              <w:t>88.79</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30215</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会议费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31011</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地上附着物和青苗补偿</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303</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对个人和家庭的补助</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b/>
                <w:bCs/>
                <w:i w:val="0"/>
                <w:snapToGrid w:val="0"/>
                <w:color w:val="000000"/>
                <w:kern w:val="0"/>
                <w:sz w:val="16"/>
                <w:szCs w:val="16"/>
                <w:u w:val="none"/>
                <w:lang w:val="en-US" w:eastAsia="zh-CN" w:bidi="ar"/>
              </w:rPr>
              <w:t>453.57</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30216</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培训费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31012</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拆迁补偿</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30301</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离休费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30217</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公务接待费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31013</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公务用车购置</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30302</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退休费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30218</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专用材料费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31019</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其他交通工具购置</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30303</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退职（役）费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326.33</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30224</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被装购置费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31021</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文物和陈列品购置</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30304</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抚恤金</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6"/>
                <w:szCs w:val="16"/>
                <w:u w:val="none"/>
                <w:lang w:val="en" w:eastAsia="zh-CN" w:bidi="ar"/>
              </w:rPr>
            </w:pPr>
            <w:r>
              <w:rPr>
                <w:rFonts w:hint="default" w:ascii="宋体" w:hAnsi="宋体" w:eastAsia="宋体" w:cs="宋体"/>
                <w:i w:val="0"/>
                <w:snapToGrid w:val="0"/>
                <w:color w:val="000000"/>
                <w:kern w:val="0"/>
                <w:sz w:val="16"/>
                <w:szCs w:val="16"/>
                <w:u w:val="none"/>
                <w:lang w:val="en" w:eastAsia="zh-CN" w:bidi="ar"/>
              </w:rPr>
              <w:t>0.20</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30225</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专用燃料费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2.00</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31022</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无形资产购置</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30305</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生活补助</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30226</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劳务费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31099</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其他资本性支出</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30306</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救济费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30227</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委托业务费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其他支出</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30307</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医疗费补助</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30228</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工会经费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39907</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国家赔偿费用支出</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30308</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助学金</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30229</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福利费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39908</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对民间非营利组织和群众性自治组织补贴</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30309</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奖励金</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30231</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公务用车运行维护费</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39909</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经常性赠与</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30310</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个人农业生产补贴</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30239</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其他交通费用</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39910</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资本性赠与</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30311</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代缴社会保险费</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30240</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税金及附加费用</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39999</w:t>
            </w: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其他支出</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78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30399</w:t>
            </w:r>
          </w:p>
        </w:tc>
        <w:tc>
          <w:tcPr>
            <w:tcW w:w="2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其他对个人和家庭的补助</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127.04</w:t>
            </w:r>
          </w:p>
        </w:tc>
        <w:tc>
          <w:tcPr>
            <w:tcW w:w="5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30299</w:t>
            </w:r>
          </w:p>
        </w:tc>
        <w:tc>
          <w:tcPr>
            <w:tcW w:w="136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其他商品和服务支出</w:t>
            </w:r>
          </w:p>
        </w:tc>
        <w:tc>
          <w:tcPr>
            <w:tcW w:w="77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4.72</w:t>
            </w:r>
          </w:p>
        </w:tc>
        <w:tc>
          <w:tcPr>
            <w:tcW w:w="738" w:type="dxa"/>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575"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6"/>
                <w:szCs w:val="16"/>
                <w:u w:val="none"/>
              </w:rPr>
            </w:pP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3150"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人员经费合计</w:t>
            </w:r>
          </w:p>
        </w:tc>
        <w:tc>
          <w:tcPr>
            <w:tcW w:w="9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bCs/>
                <w:i w:val="0"/>
                <w:snapToGrid w:val="0"/>
                <w:color w:val="000000"/>
                <w:kern w:val="0"/>
                <w:sz w:val="16"/>
                <w:szCs w:val="16"/>
                <w:u w:val="none"/>
                <w:lang w:val="en-US" w:eastAsia="zh-CN" w:bidi="ar"/>
              </w:rPr>
            </w:pPr>
            <w:r>
              <w:rPr>
                <w:rFonts w:hint="default" w:ascii="宋体" w:hAnsi="宋体" w:eastAsia="宋体" w:cs="宋体"/>
                <w:b/>
                <w:bCs/>
                <w:i w:val="0"/>
                <w:snapToGrid w:val="0"/>
                <w:color w:val="000000"/>
                <w:kern w:val="0"/>
                <w:sz w:val="16"/>
                <w:szCs w:val="16"/>
                <w:u w:val="none"/>
                <w:lang w:val="en-US" w:eastAsia="zh-CN" w:bidi="ar"/>
              </w:rPr>
              <w:t>7,799.44</w:t>
            </w:r>
          </w:p>
        </w:tc>
        <w:tc>
          <w:tcPr>
            <w:tcW w:w="5030" w:type="dxa"/>
            <w:gridSpan w:val="5"/>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16"/>
                <w:szCs w:val="16"/>
                <w:u w:val="none"/>
              </w:rPr>
            </w:pPr>
            <w:r>
              <w:rPr>
                <w:rFonts w:hint="eastAsia" w:ascii="宋体" w:hAnsi="宋体" w:eastAsia="宋体" w:cs="宋体"/>
                <w:b/>
                <w:bCs/>
                <w:i w:val="0"/>
                <w:snapToGrid w:val="0"/>
                <w:color w:val="000000"/>
                <w:kern w:val="0"/>
                <w:sz w:val="16"/>
                <w:szCs w:val="16"/>
                <w:u w:val="none"/>
                <w:lang w:val="en-US" w:eastAsia="zh-CN" w:bidi="ar"/>
              </w:rPr>
              <w:t>公用经费合计</w:t>
            </w:r>
          </w:p>
        </w:tc>
        <w:tc>
          <w:tcPr>
            <w:tcW w:w="71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b/>
                <w:bCs/>
                <w:i w:val="0"/>
                <w:color w:val="000000"/>
                <w:sz w:val="16"/>
                <w:szCs w:val="16"/>
                <w:u w:val="none"/>
                <w:lang w:val="en"/>
              </w:rPr>
            </w:pPr>
            <w:r>
              <w:rPr>
                <w:rFonts w:hint="default" w:ascii="宋体" w:hAnsi="宋体" w:eastAsia="宋体" w:cs="宋体"/>
                <w:b/>
                <w:bCs/>
                <w:i w:val="0"/>
                <w:color w:val="000000"/>
                <w:sz w:val="16"/>
                <w:szCs w:val="16"/>
                <w:u w:val="none"/>
                <w:lang w:val="en"/>
              </w:rPr>
              <w:t>147.91</w:t>
            </w:r>
          </w:p>
        </w:tc>
      </w:tr>
      <w:tr>
        <w:tblPrEx>
          <w:tblCellMar>
            <w:top w:w="0" w:type="dxa"/>
            <w:left w:w="0" w:type="dxa"/>
            <w:bottom w:w="0" w:type="dxa"/>
            <w:right w:w="0" w:type="dxa"/>
          </w:tblCellMar>
        </w:tblPrEx>
        <w:trPr>
          <w:trHeight w:val="308" w:hRule="atLeast"/>
        </w:trPr>
        <w:tc>
          <w:tcPr>
            <w:tcW w:w="9875" w:type="dxa"/>
            <w:gridSpan w:val="9"/>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16"/>
                <w:szCs w:val="16"/>
                <w:u w:val="none"/>
                <w:lang w:val="en-US" w:eastAsia="zh-CN" w:bidi="ar"/>
              </w:rPr>
              <w:t>注：本表反映部门本年度一般公共预算财政拨款基本支出明细情况。</w:t>
            </w:r>
          </w:p>
        </w:tc>
      </w:tr>
    </w:tbl>
    <w:p>
      <w:pPr>
        <w:spacing w:before="75" w:line="216" w:lineRule="auto"/>
        <w:ind w:left="3813"/>
        <w:rPr>
          <w:rFonts w:ascii="宋体" w:hAnsi="宋体" w:eastAsia="宋体" w:cs="宋体"/>
          <w:spacing w:val="-6"/>
          <w:sz w:val="17"/>
          <w:szCs w:val="17"/>
        </w:rPr>
      </w:pPr>
    </w:p>
    <w:p>
      <w:pPr>
        <w:spacing w:before="75" w:line="216" w:lineRule="auto"/>
        <w:ind w:left="3813"/>
        <w:rPr>
          <w:rFonts w:ascii="宋体" w:hAnsi="宋体" w:eastAsia="宋体" w:cs="宋体"/>
          <w:spacing w:val="-6"/>
          <w:sz w:val="17"/>
          <w:szCs w:val="17"/>
        </w:rPr>
      </w:pPr>
    </w:p>
    <w:p>
      <w:pPr>
        <w:spacing w:line="67" w:lineRule="exact"/>
      </w:pPr>
    </w:p>
    <w:p/>
    <w:p>
      <w:pPr>
        <w:pStyle w:val="2"/>
      </w:pPr>
    </w:p>
    <w:p>
      <w:pPr>
        <w:pStyle w:val="2"/>
      </w:pPr>
    </w:p>
    <w:tbl>
      <w:tblPr>
        <w:tblStyle w:val="9"/>
        <w:tblpPr w:leftFromText="180" w:rightFromText="180" w:vertAnchor="text" w:horzAnchor="page" w:tblpX="996" w:tblpY="402"/>
        <w:tblOverlap w:val="never"/>
        <w:tblW w:w="10270" w:type="dxa"/>
        <w:tblInd w:w="0" w:type="dxa"/>
        <w:tblLayout w:type="autofit"/>
        <w:tblCellMar>
          <w:top w:w="0" w:type="dxa"/>
          <w:left w:w="0" w:type="dxa"/>
          <w:bottom w:w="0" w:type="dxa"/>
          <w:right w:w="0" w:type="dxa"/>
        </w:tblCellMar>
      </w:tblPr>
      <w:tblGrid>
        <w:gridCol w:w="1058"/>
        <w:gridCol w:w="1372"/>
        <w:gridCol w:w="1354"/>
        <w:gridCol w:w="1046"/>
        <w:gridCol w:w="943"/>
        <w:gridCol w:w="1001"/>
        <w:gridCol w:w="1024"/>
        <w:gridCol w:w="2472"/>
      </w:tblGrid>
      <w:tr>
        <w:tblPrEx>
          <w:tblCellMar>
            <w:top w:w="0" w:type="dxa"/>
            <w:left w:w="0" w:type="dxa"/>
            <w:bottom w:w="0" w:type="dxa"/>
            <w:right w:w="0" w:type="dxa"/>
          </w:tblCellMar>
        </w:tblPrEx>
        <w:trPr>
          <w:trHeight w:val="390" w:hRule="atLeast"/>
        </w:trPr>
        <w:tc>
          <w:tcPr>
            <w:tcW w:w="10270" w:type="dxa"/>
            <w:gridSpan w:val="8"/>
            <w:tcBorders>
              <w:top w:val="nil"/>
              <w:left w:val="nil"/>
              <w:bottom w:val="nil"/>
              <w:right w:val="nil"/>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snapToGrid w:val="0"/>
                <w:color w:val="000000"/>
                <w:kern w:val="0"/>
                <w:sz w:val="30"/>
                <w:szCs w:val="30"/>
                <w:u w:val="none"/>
                <w:lang w:val="en-US" w:eastAsia="zh-CN" w:bidi="ar"/>
              </w:rPr>
            </w:pPr>
          </w:p>
          <w:p>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政府性基金预算财政拨款收入支出决算表</w:t>
            </w:r>
          </w:p>
        </w:tc>
      </w:tr>
      <w:tr>
        <w:tblPrEx>
          <w:tblCellMar>
            <w:top w:w="0" w:type="dxa"/>
            <w:left w:w="0" w:type="dxa"/>
            <w:bottom w:w="0" w:type="dxa"/>
            <w:right w:w="0" w:type="dxa"/>
          </w:tblCellMar>
        </w:tblPrEx>
        <w:trPr>
          <w:trHeight w:val="255" w:hRule="atLeast"/>
        </w:trPr>
        <w:tc>
          <w:tcPr>
            <w:tcW w:w="1058"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1372"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35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46"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43"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01"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2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2472"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公开07表</w:t>
            </w:r>
          </w:p>
        </w:tc>
      </w:tr>
      <w:tr>
        <w:tblPrEx>
          <w:tblCellMar>
            <w:top w:w="0" w:type="dxa"/>
            <w:left w:w="0" w:type="dxa"/>
            <w:bottom w:w="0" w:type="dxa"/>
            <w:right w:w="0" w:type="dxa"/>
          </w:tblCellMar>
        </w:tblPrEx>
        <w:trPr>
          <w:trHeight w:val="255" w:hRule="atLeast"/>
        </w:trPr>
        <w:tc>
          <w:tcPr>
            <w:tcW w:w="3784" w:type="dxa"/>
            <w:gridSpan w:val="3"/>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1046"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43"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01"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02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2472"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308" w:hRule="atLeast"/>
        </w:trPr>
        <w:tc>
          <w:tcPr>
            <w:tcW w:w="24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项目</w:t>
            </w:r>
          </w:p>
        </w:tc>
        <w:tc>
          <w:tcPr>
            <w:tcW w:w="1354"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年初结转和结余</w:t>
            </w:r>
          </w:p>
        </w:tc>
        <w:tc>
          <w:tcPr>
            <w:tcW w:w="1046"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本年收入</w:t>
            </w:r>
          </w:p>
        </w:tc>
        <w:tc>
          <w:tcPr>
            <w:tcW w:w="2968" w:type="dxa"/>
            <w:gridSpan w:val="3"/>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本年支出</w:t>
            </w:r>
          </w:p>
        </w:tc>
        <w:tc>
          <w:tcPr>
            <w:tcW w:w="2472"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年末结转和结余</w:t>
            </w:r>
          </w:p>
        </w:tc>
      </w:tr>
      <w:tr>
        <w:tblPrEx>
          <w:tblCellMar>
            <w:top w:w="0" w:type="dxa"/>
            <w:left w:w="0" w:type="dxa"/>
            <w:bottom w:w="0" w:type="dxa"/>
            <w:right w:w="0" w:type="dxa"/>
          </w:tblCellMar>
        </w:tblPrEx>
        <w:trPr>
          <w:trHeight w:val="308" w:hRule="atLeast"/>
        </w:trPr>
        <w:tc>
          <w:tcPr>
            <w:tcW w:w="1058"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科目代码</w:t>
            </w:r>
          </w:p>
        </w:tc>
        <w:tc>
          <w:tcPr>
            <w:tcW w:w="1372" w:type="dxa"/>
            <w:vMerge w:val="restart"/>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科目名称</w:t>
            </w:r>
          </w:p>
        </w:tc>
        <w:tc>
          <w:tcPr>
            <w:tcW w:w="1354"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46"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43"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小计</w:t>
            </w:r>
          </w:p>
        </w:tc>
        <w:tc>
          <w:tcPr>
            <w:tcW w:w="1001"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基本支出</w:t>
            </w:r>
          </w:p>
        </w:tc>
        <w:tc>
          <w:tcPr>
            <w:tcW w:w="1024"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项目支出</w:t>
            </w:r>
          </w:p>
        </w:tc>
        <w:tc>
          <w:tcPr>
            <w:tcW w:w="2472"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1058"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72"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54"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46"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43"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01"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24"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472"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180" w:hRule="atLeast"/>
        </w:trPr>
        <w:tc>
          <w:tcPr>
            <w:tcW w:w="1058"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72"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354"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46"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43"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01"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24"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472"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2430"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栏次</w:t>
            </w:r>
          </w:p>
        </w:tc>
        <w:tc>
          <w:tcPr>
            <w:tcW w:w="135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1</w:t>
            </w:r>
          </w:p>
        </w:tc>
        <w:tc>
          <w:tcPr>
            <w:tcW w:w="1046"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w:t>
            </w:r>
          </w:p>
        </w:tc>
        <w:tc>
          <w:tcPr>
            <w:tcW w:w="94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w:t>
            </w:r>
          </w:p>
        </w:tc>
        <w:tc>
          <w:tcPr>
            <w:tcW w:w="1001"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4</w:t>
            </w:r>
          </w:p>
        </w:tc>
        <w:tc>
          <w:tcPr>
            <w:tcW w:w="102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5</w:t>
            </w:r>
          </w:p>
        </w:tc>
        <w:tc>
          <w:tcPr>
            <w:tcW w:w="2472"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6</w:t>
            </w:r>
          </w:p>
        </w:tc>
      </w:tr>
      <w:tr>
        <w:tblPrEx>
          <w:tblCellMar>
            <w:top w:w="0" w:type="dxa"/>
            <w:left w:w="0" w:type="dxa"/>
            <w:bottom w:w="0" w:type="dxa"/>
            <w:right w:w="0" w:type="dxa"/>
          </w:tblCellMar>
        </w:tblPrEx>
        <w:trPr>
          <w:trHeight w:val="308" w:hRule="atLeast"/>
        </w:trPr>
        <w:tc>
          <w:tcPr>
            <w:tcW w:w="2430"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合计</w:t>
            </w:r>
          </w:p>
        </w:tc>
        <w:tc>
          <w:tcPr>
            <w:tcW w:w="1354"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16"/>
                <w:szCs w:val="16"/>
                <w:u w:val="none"/>
              </w:rPr>
            </w:pPr>
          </w:p>
        </w:tc>
        <w:tc>
          <w:tcPr>
            <w:tcW w:w="1046"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16"/>
                <w:szCs w:val="16"/>
                <w:u w:val="none"/>
              </w:rPr>
            </w:pPr>
          </w:p>
        </w:tc>
        <w:tc>
          <w:tcPr>
            <w:tcW w:w="94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16"/>
                <w:szCs w:val="16"/>
                <w:u w:val="none"/>
              </w:rPr>
            </w:pPr>
          </w:p>
        </w:tc>
        <w:tc>
          <w:tcPr>
            <w:tcW w:w="1001"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16"/>
                <w:szCs w:val="16"/>
                <w:u w:val="none"/>
              </w:rPr>
            </w:pPr>
          </w:p>
        </w:tc>
        <w:tc>
          <w:tcPr>
            <w:tcW w:w="1024"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16"/>
                <w:szCs w:val="16"/>
                <w:u w:val="none"/>
              </w:rPr>
            </w:pPr>
          </w:p>
        </w:tc>
        <w:tc>
          <w:tcPr>
            <w:tcW w:w="2472"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16"/>
                <w:szCs w:val="16"/>
                <w:u w:val="none"/>
              </w:rPr>
            </w:pPr>
          </w:p>
        </w:tc>
      </w:tr>
      <w:tr>
        <w:tblPrEx>
          <w:tblCellMar>
            <w:top w:w="0" w:type="dxa"/>
            <w:left w:w="0" w:type="dxa"/>
            <w:bottom w:w="0" w:type="dxa"/>
            <w:right w:w="0" w:type="dxa"/>
          </w:tblCellMar>
        </w:tblPrEx>
        <w:trPr>
          <w:trHeight w:val="308" w:hRule="atLeast"/>
        </w:trPr>
        <w:tc>
          <w:tcPr>
            <w:tcW w:w="10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6"/>
                <w:szCs w:val="16"/>
                <w:u w:val="none"/>
              </w:rPr>
            </w:pPr>
          </w:p>
        </w:tc>
        <w:tc>
          <w:tcPr>
            <w:tcW w:w="1372"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6"/>
                <w:szCs w:val="16"/>
                <w:u w:val="none"/>
              </w:rPr>
            </w:pPr>
          </w:p>
        </w:tc>
        <w:tc>
          <w:tcPr>
            <w:tcW w:w="1354"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1046"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94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1001"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1024"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2472"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1058"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6"/>
                <w:szCs w:val="16"/>
                <w:u w:val="none"/>
              </w:rPr>
            </w:pPr>
          </w:p>
        </w:tc>
        <w:tc>
          <w:tcPr>
            <w:tcW w:w="1372"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16"/>
                <w:szCs w:val="16"/>
                <w:u w:val="none"/>
              </w:rPr>
            </w:pPr>
          </w:p>
        </w:tc>
        <w:tc>
          <w:tcPr>
            <w:tcW w:w="1354"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1046"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94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1001"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1024"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c>
          <w:tcPr>
            <w:tcW w:w="2472"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08" w:hRule="atLeast"/>
        </w:trPr>
        <w:tc>
          <w:tcPr>
            <w:tcW w:w="10270" w:type="dxa"/>
            <w:gridSpan w:val="8"/>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注：本表反映部门本年度政府性基金预算财政拨款收入、支出及结转和结余情况。</w:t>
            </w:r>
          </w:p>
          <w:p>
            <w:pPr>
              <w:pStyle w:val="2"/>
              <w:ind w:left="0" w:leftChars="0" w:firstLine="0" w:firstLineChars="0"/>
              <w:rPr>
                <w:rFonts w:hint="eastAsia"/>
              </w:rPr>
            </w:pPr>
            <w:r>
              <w:rPr>
                <w:rFonts w:hint="eastAsia" w:ascii="宋体" w:hAnsi="宋体" w:eastAsia="宋体" w:cs="宋体"/>
                <w:i w:val="0"/>
                <w:snapToGrid w:val="0"/>
                <w:color w:val="000000"/>
                <w:kern w:val="0"/>
                <w:sz w:val="16"/>
                <w:szCs w:val="16"/>
                <w:u w:val="none"/>
                <w:lang w:val="en-US" w:eastAsia="zh-CN" w:bidi="ar"/>
              </w:rPr>
              <w:t>说明：郴州市消防救援支队本级没有政府性基金的收入，也没有使用政府性基金安排的支出，故本表无数据。</w:t>
            </w:r>
          </w:p>
        </w:tc>
      </w:tr>
    </w:tbl>
    <w:p>
      <w:pPr>
        <w:pStyle w:val="2"/>
      </w:pPr>
    </w:p>
    <w:p>
      <w:pPr>
        <w:pStyle w:val="2"/>
        <w:ind w:left="0" w:leftChars="0" w:firstLine="0" w:firstLineChars="0"/>
      </w:pPr>
    </w:p>
    <w:p>
      <w:pPr>
        <w:pStyle w:val="2"/>
        <w:ind w:left="0" w:leftChars="0" w:firstLine="0" w:firstLineChars="0"/>
      </w:pPr>
    </w:p>
    <w:p>
      <w:pPr>
        <w:pStyle w:val="2"/>
      </w:pPr>
    </w:p>
    <w:p>
      <w:pPr>
        <w:pStyle w:val="2"/>
        <w:ind w:left="0" w:leftChars="0" w:firstLine="0" w:firstLineChars="0"/>
      </w:pPr>
    </w:p>
    <w:p>
      <w:pPr>
        <w:spacing w:before="63" w:line="210" w:lineRule="auto"/>
        <w:ind w:left="2837"/>
        <w:rPr>
          <w:rFonts w:ascii="宋体" w:hAnsi="宋体" w:eastAsia="宋体" w:cs="宋体"/>
          <w:b/>
          <w:bCs/>
          <w:spacing w:val="-6"/>
          <w:sz w:val="18"/>
          <w:szCs w:val="18"/>
        </w:rPr>
      </w:pPr>
    </w:p>
    <w:p>
      <w:pPr>
        <w:spacing w:before="63" w:line="210" w:lineRule="auto"/>
        <w:ind w:left="2837"/>
        <w:rPr>
          <w:rFonts w:ascii="宋体" w:hAnsi="宋体" w:eastAsia="宋体" w:cs="宋体"/>
          <w:b/>
          <w:bCs/>
          <w:spacing w:val="-6"/>
          <w:sz w:val="18"/>
          <w:szCs w:val="18"/>
        </w:rPr>
      </w:pPr>
    </w:p>
    <w:p>
      <w:pPr>
        <w:pStyle w:val="2"/>
      </w:pPr>
    </w:p>
    <w:p>
      <w:pPr>
        <w:spacing w:before="63" w:line="210" w:lineRule="auto"/>
        <w:rPr>
          <w:rFonts w:ascii="宋体" w:hAnsi="宋体" w:eastAsia="宋体" w:cs="宋体"/>
          <w:b/>
          <w:bCs/>
          <w:spacing w:val="-6"/>
          <w:sz w:val="18"/>
          <w:szCs w:val="18"/>
        </w:rPr>
      </w:pPr>
    </w:p>
    <w:p>
      <w:pPr>
        <w:spacing w:before="63" w:line="210" w:lineRule="auto"/>
        <w:ind w:left="2837"/>
        <w:rPr>
          <w:rFonts w:ascii="宋体" w:hAnsi="宋体" w:eastAsia="宋体" w:cs="宋体"/>
          <w:b/>
          <w:bCs/>
          <w:spacing w:val="-6"/>
          <w:sz w:val="18"/>
          <w:szCs w:val="18"/>
        </w:rPr>
      </w:pPr>
    </w:p>
    <w:p>
      <w:pPr>
        <w:spacing w:before="63" w:line="210" w:lineRule="auto"/>
        <w:ind w:left="2837"/>
        <w:rPr>
          <w:rFonts w:ascii="宋体" w:hAnsi="宋体" w:eastAsia="宋体" w:cs="宋体"/>
          <w:b/>
          <w:bCs/>
          <w:spacing w:val="-6"/>
          <w:sz w:val="18"/>
          <w:szCs w:val="18"/>
        </w:rPr>
      </w:pPr>
    </w:p>
    <w:p>
      <w:pPr>
        <w:spacing w:before="63" w:line="210" w:lineRule="auto"/>
        <w:ind w:left="2837"/>
        <w:rPr>
          <w:rFonts w:ascii="宋体" w:hAnsi="宋体" w:eastAsia="宋体" w:cs="宋体"/>
          <w:b/>
          <w:bCs/>
          <w:spacing w:val="-6"/>
          <w:sz w:val="18"/>
          <w:szCs w:val="18"/>
        </w:rPr>
      </w:pPr>
    </w:p>
    <w:p>
      <w:pPr>
        <w:spacing w:before="93" w:line="208" w:lineRule="auto"/>
        <w:ind w:left="2217"/>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tbl>
      <w:tblPr>
        <w:tblStyle w:val="9"/>
        <w:tblpPr w:leftFromText="180" w:rightFromText="180" w:vertAnchor="text" w:horzAnchor="page" w:tblpX="1191" w:tblpY="274"/>
        <w:tblOverlap w:val="never"/>
        <w:tblW w:w="9625" w:type="dxa"/>
        <w:tblInd w:w="0" w:type="dxa"/>
        <w:tblLayout w:type="fixed"/>
        <w:tblCellMar>
          <w:top w:w="0" w:type="dxa"/>
          <w:left w:w="0" w:type="dxa"/>
          <w:bottom w:w="0" w:type="dxa"/>
          <w:right w:w="0" w:type="dxa"/>
        </w:tblCellMar>
      </w:tblPr>
      <w:tblGrid>
        <w:gridCol w:w="1185"/>
        <w:gridCol w:w="1245"/>
        <w:gridCol w:w="1583"/>
        <w:gridCol w:w="2189"/>
        <w:gridCol w:w="3423"/>
      </w:tblGrid>
      <w:tr>
        <w:tblPrEx>
          <w:tblCellMar>
            <w:top w:w="0" w:type="dxa"/>
            <w:left w:w="0" w:type="dxa"/>
            <w:bottom w:w="0" w:type="dxa"/>
            <w:right w:w="0" w:type="dxa"/>
          </w:tblCellMar>
        </w:tblPrEx>
        <w:trPr>
          <w:trHeight w:val="390" w:hRule="atLeast"/>
        </w:trPr>
        <w:tc>
          <w:tcPr>
            <w:tcW w:w="9625" w:type="dxa"/>
            <w:gridSpan w:val="5"/>
            <w:tcBorders>
              <w:top w:val="nil"/>
              <w:left w:val="nil"/>
              <w:bottom w:val="nil"/>
              <w:right w:val="nil"/>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snapToGrid w:val="0"/>
                <w:color w:val="000000"/>
                <w:kern w:val="0"/>
                <w:sz w:val="30"/>
                <w:szCs w:val="30"/>
                <w:u w:val="none"/>
                <w:lang w:val="en-US" w:eastAsia="zh-CN" w:bidi="ar"/>
              </w:rPr>
            </w:pPr>
          </w:p>
          <w:p>
            <w:pPr>
              <w:keepNext w:val="0"/>
              <w:keepLines w:val="0"/>
              <w:widowControl/>
              <w:suppressLineNumbers w:val="0"/>
              <w:jc w:val="center"/>
              <w:textAlignment w:val="bottom"/>
              <w:rPr>
                <w:rFonts w:hint="eastAsia" w:ascii="宋体" w:hAnsi="宋体" w:eastAsia="宋体" w:cs="宋体"/>
                <w:i w:val="0"/>
                <w:snapToGrid w:val="0"/>
                <w:color w:val="000000"/>
                <w:kern w:val="0"/>
                <w:sz w:val="30"/>
                <w:szCs w:val="30"/>
                <w:u w:val="none"/>
                <w:lang w:val="en-US" w:eastAsia="zh-CN" w:bidi="ar"/>
              </w:rPr>
            </w:pPr>
          </w:p>
          <w:p>
            <w:pPr>
              <w:keepNext w:val="0"/>
              <w:keepLines w:val="0"/>
              <w:widowControl/>
              <w:suppressLineNumbers w:val="0"/>
              <w:jc w:val="center"/>
              <w:textAlignment w:val="bottom"/>
              <w:rPr>
                <w:rFonts w:hint="eastAsia" w:ascii="宋体" w:hAnsi="宋体" w:eastAsia="宋体" w:cs="宋体"/>
                <w:i w:val="0"/>
                <w:snapToGrid w:val="0"/>
                <w:color w:val="000000"/>
                <w:kern w:val="0"/>
                <w:sz w:val="30"/>
                <w:szCs w:val="30"/>
                <w:u w:val="none"/>
                <w:lang w:val="en-US" w:eastAsia="zh-CN" w:bidi="ar"/>
              </w:rPr>
            </w:pPr>
          </w:p>
          <w:p>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snapToGrid w:val="0"/>
                <w:color w:val="000000"/>
                <w:kern w:val="0"/>
                <w:sz w:val="30"/>
                <w:szCs w:val="30"/>
                <w:u w:val="none"/>
                <w:lang w:val="en-US" w:eastAsia="zh-CN" w:bidi="ar"/>
              </w:rPr>
              <w:t>国有资本经营预算财政拨款支出决算表</w:t>
            </w:r>
          </w:p>
        </w:tc>
      </w:tr>
      <w:tr>
        <w:tblPrEx>
          <w:tblCellMar>
            <w:top w:w="0" w:type="dxa"/>
            <w:left w:w="0" w:type="dxa"/>
            <w:bottom w:w="0" w:type="dxa"/>
            <w:right w:w="0" w:type="dxa"/>
          </w:tblCellMar>
        </w:tblPrEx>
        <w:trPr>
          <w:trHeight w:val="255" w:hRule="atLeast"/>
        </w:trPr>
        <w:tc>
          <w:tcPr>
            <w:tcW w:w="1185"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124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583"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2189"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3423"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公开08表</w:t>
            </w:r>
          </w:p>
        </w:tc>
      </w:tr>
      <w:tr>
        <w:tblPrEx>
          <w:tblCellMar>
            <w:top w:w="0" w:type="dxa"/>
            <w:left w:w="0" w:type="dxa"/>
            <w:bottom w:w="0" w:type="dxa"/>
            <w:right w:w="0" w:type="dxa"/>
          </w:tblCellMar>
        </w:tblPrEx>
        <w:trPr>
          <w:trHeight w:val="255" w:hRule="atLeast"/>
        </w:trPr>
        <w:tc>
          <w:tcPr>
            <w:tcW w:w="4013" w:type="dxa"/>
            <w:gridSpan w:val="3"/>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部门：郴州市消防救援支队本级</w:t>
            </w:r>
          </w:p>
        </w:tc>
        <w:tc>
          <w:tcPr>
            <w:tcW w:w="2189"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3423"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308" w:hRule="atLeast"/>
        </w:trPr>
        <w:tc>
          <w:tcPr>
            <w:tcW w:w="24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项目</w:t>
            </w:r>
          </w:p>
        </w:tc>
        <w:tc>
          <w:tcPr>
            <w:tcW w:w="7195" w:type="dxa"/>
            <w:gridSpan w:val="3"/>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本年支出</w:t>
            </w:r>
          </w:p>
        </w:tc>
      </w:tr>
      <w:tr>
        <w:tblPrEx>
          <w:tblCellMar>
            <w:top w:w="0" w:type="dxa"/>
            <w:left w:w="0" w:type="dxa"/>
            <w:bottom w:w="0" w:type="dxa"/>
            <w:right w:w="0" w:type="dxa"/>
          </w:tblCellMar>
        </w:tblPrEx>
        <w:trPr>
          <w:trHeight w:val="308" w:hRule="atLeast"/>
        </w:trPr>
        <w:tc>
          <w:tcPr>
            <w:tcW w:w="1185"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科目代码</w:t>
            </w:r>
          </w:p>
        </w:tc>
        <w:tc>
          <w:tcPr>
            <w:tcW w:w="1245" w:type="dxa"/>
            <w:vMerge w:val="restart"/>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科目名称</w:t>
            </w:r>
          </w:p>
        </w:tc>
        <w:tc>
          <w:tcPr>
            <w:tcW w:w="1583"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合计</w:t>
            </w:r>
          </w:p>
        </w:tc>
        <w:tc>
          <w:tcPr>
            <w:tcW w:w="2189"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基本支出</w:t>
            </w:r>
          </w:p>
        </w:tc>
        <w:tc>
          <w:tcPr>
            <w:tcW w:w="3423"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项目支出</w:t>
            </w:r>
          </w:p>
        </w:tc>
      </w:tr>
      <w:tr>
        <w:tblPrEx>
          <w:tblCellMar>
            <w:top w:w="0" w:type="dxa"/>
            <w:left w:w="0" w:type="dxa"/>
            <w:bottom w:w="0" w:type="dxa"/>
            <w:right w:w="0" w:type="dxa"/>
          </w:tblCellMar>
        </w:tblPrEx>
        <w:trPr>
          <w:trHeight w:val="308" w:hRule="atLeast"/>
        </w:trPr>
        <w:tc>
          <w:tcPr>
            <w:tcW w:w="1185"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1245"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1583"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189"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423"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308" w:hRule="atLeast"/>
        </w:trPr>
        <w:tc>
          <w:tcPr>
            <w:tcW w:w="1185"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1245"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1583"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2189"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3423"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308" w:hRule="atLeast"/>
        </w:trPr>
        <w:tc>
          <w:tcPr>
            <w:tcW w:w="2430"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栏次</w:t>
            </w:r>
          </w:p>
        </w:tc>
        <w:tc>
          <w:tcPr>
            <w:tcW w:w="158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1</w:t>
            </w:r>
          </w:p>
        </w:tc>
        <w:tc>
          <w:tcPr>
            <w:tcW w:w="2189"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2</w:t>
            </w:r>
          </w:p>
        </w:tc>
        <w:tc>
          <w:tcPr>
            <w:tcW w:w="3423"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3</w:t>
            </w:r>
          </w:p>
        </w:tc>
      </w:tr>
      <w:tr>
        <w:tblPrEx>
          <w:tblCellMar>
            <w:top w:w="0" w:type="dxa"/>
            <w:left w:w="0" w:type="dxa"/>
            <w:bottom w:w="0" w:type="dxa"/>
            <w:right w:w="0" w:type="dxa"/>
          </w:tblCellMar>
        </w:tblPrEx>
        <w:trPr>
          <w:trHeight w:val="308" w:hRule="atLeast"/>
        </w:trPr>
        <w:tc>
          <w:tcPr>
            <w:tcW w:w="2430"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22"/>
                <w:szCs w:val="22"/>
                <w:u w:val="none"/>
                <w:lang w:val="en-US" w:eastAsia="zh-CN" w:bidi="ar"/>
              </w:rPr>
              <w:t>合计</w:t>
            </w:r>
          </w:p>
        </w:tc>
        <w:tc>
          <w:tcPr>
            <w:tcW w:w="158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22"/>
                <w:szCs w:val="22"/>
                <w:u w:val="none"/>
              </w:rPr>
            </w:pPr>
          </w:p>
        </w:tc>
        <w:tc>
          <w:tcPr>
            <w:tcW w:w="2189"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22"/>
                <w:szCs w:val="22"/>
                <w:u w:val="none"/>
              </w:rPr>
            </w:pPr>
          </w:p>
        </w:tc>
        <w:tc>
          <w:tcPr>
            <w:tcW w:w="342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308" w:hRule="atLeast"/>
        </w:trPr>
        <w:tc>
          <w:tcPr>
            <w:tcW w:w="1185"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1245"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158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2189"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342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308" w:hRule="atLeast"/>
        </w:trPr>
        <w:tc>
          <w:tcPr>
            <w:tcW w:w="1185"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1245" w:type="dxa"/>
            <w:tcBorders>
              <w:top w:val="nil"/>
              <w:left w:val="nil"/>
              <w:bottom w:val="single" w:color="000000" w:sz="4" w:space="0"/>
              <w:right w:val="single" w:color="000000" w:sz="4" w:space="0"/>
            </w:tcBorders>
            <w:noWrap/>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158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2189"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3423" w:type="dxa"/>
            <w:tcBorders>
              <w:top w:val="nil"/>
              <w:left w:val="nil"/>
              <w:bottom w:val="single" w:color="000000" w:sz="4" w:space="0"/>
              <w:right w:val="single" w:color="000000" w:sz="4" w:space="0"/>
            </w:tcBorders>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308" w:hRule="atLeast"/>
        </w:trPr>
        <w:tc>
          <w:tcPr>
            <w:tcW w:w="9625" w:type="dxa"/>
            <w:gridSpan w:val="5"/>
            <w:tcBorders>
              <w:top w:val="nil"/>
              <w:left w:val="nil"/>
              <w:bottom w:val="nil"/>
              <w:right w:val="nil"/>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snapToGrid w:val="0"/>
                <w:color w:val="000000"/>
                <w:kern w:val="0"/>
                <w:sz w:val="22"/>
                <w:szCs w:val="22"/>
                <w:u w:val="none"/>
                <w:lang w:val="en-US" w:eastAsia="zh-CN" w:bidi="ar"/>
              </w:rPr>
            </w:pPr>
            <w:r>
              <w:rPr>
                <w:rFonts w:hint="eastAsia" w:ascii="宋体" w:hAnsi="宋体" w:eastAsia="宋体" w:cs="宋体"/>
                <w:i w:val="0"/>
                <w:snapToGrid w:val="0"/>
                <w:color w:val="000000"/>
                <w:kern w:val="0"/>
                <w:sz w:val="16"/>
                <w:szCs w:val="16"/>
                <w:u w:val="none"/>
                <w:lang w:val="en-US" w:eastAsia="zh-CN" w:bidi="ar"/>
              </w:rPr>
              <w:t>注：本表反映部门本年度国有资本经营预算财政拨款支出情况</w:t>
            </w:r>
            <w:r>
              <w:rPr>
                <w:rFonts w:hint="eastAsia" w:ascii="宋体" w:hAnsi="宋体" w:eastAsia="宋体" w:cs="宋体"/>
                <w:i w:val="0"/>
                <w:snapToGrid w:val="0"/>
                <w:color w:val="000000"/>
                <w:kern w:val="0"/>
                <w:sz w:val="22"/>
                <w:szCs w:val="22"/>
                <w:u w:val="none"/>
                <w:lang w:val="en-US" w:eastAsia="zh-CN" w:bidi="ar"/>
              </w:rPr>
              <w:t>。</w:t>
            </w:r>
          </w:p>
          <w:p>
            <w:pPr>
              <w:pStyle w:val="2"/>
              <w:ind w:left="0" w:leftChars="0" w:firstLine="0" w:firstLineChars="0"/>
              <w:rPr>
                <w:rFonts w:hint="eastAsia"/>
              </w:rPr>
            </w:pPr>
            <w:r>
              <w:rPr>
                <w:rFonts w:hint="eastAsia" w:ascii="宋体" w:hAnsi="宋体" w:eastAsia="宋体" w:cs="宋体"/>
                <w:i w:val="0"/>
                <w:snapToGrid w:val="0"/>
                <w:color w:val="000000"/>
                <w:kern w:val="0"/>
                <w:sz w:val="16"/>
                <w:szCs w:val="16"/>
                <w:u w:val="none"/>
                <w:lang w:val="en-US" w:eastAsia="zh-CN" w:bidi="ar"/>
              </w:rPr>
              <w:t>说明：郴州市消防救援支队本级没有使用国有资本经营预算安排的支出，故本表无数据。</w:t>
            </w:r>
          </w:p>
        </w:tc>
      </w:tr>
    </w:tbl>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ind w:left="0" w:leftChars="0" w:firstLine="0" w:firstLineChars="0"/>
        <w:rPr>
          <w:rFonts w:ascii="宋体" w:hAnsi="宋体" w:eastAsia="宋体" w:cs="宋体"/>
          <w:b/>
          <w:bCs/>
          <w:spacing w:val="-10"/>
          <w:sz w:val="27"/>
          <w:szCs w:val="27"/>
        </w:rPr>
      </w:pPr>
    </w:p>
    <w:p>
      <w:pPr>
        <w:pStyle w:val="2"/>
        <w:ind w:left="0" w:leftChars="0" w:firstLine="0" w:firstLineChars="0"/>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pStyle w:val="2"/>
        <w:rPr>
          <w:rFonts w:ascii="宋体" w:hAnsi="宋体" w:eastAsia="宋体" w:cs="宋体"/>
          <w:b/>
          <w:bCs/>
          <w:spacing w:val="-10"/>
          <w:sz w:val="27"/>
          <w:szCs w:val="27"/>
        </w:rPr>
      </w:pPr>
    </w:p>
    <w:p>
      <w:pPr>
        <w:spacing w:before="93" w:line="208" w:lineRule="auto"/>
        <w:ind w:left="2217"/>
        <w:rPr>
          <w:rFonts w:ascii="宋体" w:hAnsi="宋体" w:eastAsia="宋体" w:cs="宋体"/>
          <w:b/>
          <w:bCs/>
          <w:spacing w:val="-10"/>
          <w:sz w:val="27"/>
          <w:szCs w:val="27"/>
        </w:rPr>
      </w:pPr>
    </w:p>
    <w:p>
      <w:pPr>
        <w:spacing w:before="93" w:line="208" w:lineRule="auto"/>
        <w:ind w:left="2217"/>
        <w:rPr>
          <w:rFonts w:ascii="宋体" w:hAnsi="宋体" w:eastAsia="宋体" w:cs="宋体"/>
          <w:b/>
          <w:bCs/>
          <w:spacing w:val="-10"/>
          <w:sz w:val="27"/>
          <w:szCs w:val="27"/>
        </w:rPr>
      </w:pPr>
    </w:p>
    <w:p>
      <w:pPr>
        <w:spacing w:before="93" w:line="208" w:lineRule="auto"/>
        <w:ind w:left="2217"/>
        <w:rPr>
          <w:rFonts w:ascii="宋体" w:hAnsi="宋体" w:eastAsia="宋体" w:cs="宋体"/>
          <w:b/>
          <w:bCs/>
          <w:spacing w:val="-10"/>
          <w:sz w:val="27"/>
          <w:szCs w:val="27"/>
        </w:rPr>
      </w:pPr>
    </w:p>
    <w:p>
      <w:pPr>
        <w:pStyle w:val="2"/>
      </w:pPr>
    </w:p>
    <w:p>
      <w:pPr>
        <w:pStyle w:val="2"/>
      </w:pPr>
    </w:p>
    <w:p>
      <w:pPr>
        <w:pStyle w:val="2"/>
      </w:pPr>
    </w:p>
    <w:p>
      <w:pPr>
        <w:pStyle w:val="2"/>
      </w:pPr>
    </w:p>
    <w:p>
      <w:pPr>
        <w:pStyle w:val="2"/>
      </w:pPr>
    </w:p>
    <w:p>
      <w:pPr>
        <w:pStyle w:val="2"/>
      </w:pPr>
    </w:p>
    <w:tbl>
      <w:tblPr>
        <w:tblStyle w:val="9"/>
        <w:tblpPr w:leftFromText="180" w:rightFromText="180" w:vertAnchor="text" w:horzAnchor="page" w:tblpX="1179" w:tblpY="161"/>
        <w:tblOverlap w:val="never"/>
        <w:tblW w:w="9540" w:type="dxa"/>
        <w:tblInd w:w="0" w:type="dxa"/>
        <w:tblLayout w:type="fixed"/>
        <w:tblCellMar>
          <w:top w:w="0" w:type="dxa"/>
          <w:left w:w="0" w:type="dxa"/>
          <w:bottom w:w="0" w:type="dxa"/>
          <w:right w:w="0" w:type="dxa"/>
        </w:tblCellMar>
      </w:tblPr>
      <w:tblGrid>
        <w:gridCol w:w="570"/>
        <w:gridCol w:w="636"/>
        <w:gridCol w:w="805"/>
        <w:gridCol w:w="880"/>
        <w:gridCol w:w="994"/>
        <w:gridCol w:w="990"/>
        <w:gridCol w:w="630"/>
        <w:gridCol w:w="720"/>
        <w:gridCol w:w="615"/>
        <w:gridCol w:w="870"/>
        <w:gridCol w:w="945"/>
        <w:gridCol w:w="885"/>
      </w:tblGrid>
      <w:tr>
        <w:tblPrEx>
          <w:tblCellMar>
            <w:top w:w="0" w:type="dxa"/>
            <w:left w:w="0" w:type="dxa"/>
            <w:bottom w:w="0" w:type="dxa"/>
            <w:right w:w="0" w:type="dxa"/>
          </w:tblCellMar>
        </w:tblPrEx>
        <w:trPr>
          <w:trHeight w:val="522" w:hRule="atLeast"/>
        </w:trPr>
        <w:tc>
          <w:tcPr>
            <w:tcW w:w="9540" w:type="dxa"/>
            <w:gridSpan w:val="12"/>
            <w:tcBorders>
              <w:top w:val="nil"/>
              <w:left w:val="nil"/>
              <w:bottom w:val="nil"/>
              <w:right w:val="nil"/>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snapToGrid w:val="0"/>
                <w:color w:val="000000"/>
                <w:kern w:val="0"/>
                <w:sz w:val="30"/>
                <w:szCs w:val="30"/>
                <w:u w:val="none"/>
                <w:lang w:val="en-US" w:eastAsia="zh-CN" w:bidi="ar"/>
              </w:rPr>
            </w:pPr>
          </w:p>
          <w:p>
            <w:pPr>
              <w:keepNext w:val="0"/>
              <w:keepLines w:val="0"/>
              <w:widowControl/>
              <w:suppressLineNumbers w:val="0"/>
              <w:jc w:val="center"/>
              <w:textAlignment w:val="bottom"/>
              <w:rPr>
                <w:rFonts w:hint="eastAsia" w:ascii="宋体" w:hAnsi="宋体" w:eastAsia="宋体" w:cs="宋体"/>
                <w:i w:val="0"/>
                <w:color w:val="000000"/>
                <w:sz w:val="40"/>
                <w:szCs w:val="40"/>
                <w:u w:val="none"/>
              </w:rPr>
            </w:pPr>
            <w:r>
              <w:rPr>
                <w:rFonts w:hint="eastAsia" w:ascii="宋体" w:hAnsi="宋体" w:eastAsia="宋体" w:cs="宋体"/>
                <w:i w:val="0"/>
                <w:snapToGrid w:val="0"/>
                <w:color w:val="000000"/>
                <w:kern w:val="0"/>
                <w:sz w:val="30"/>
                <w:szCs w:val="30"/>
                <w:u w:val="none"/>
                <w:lang w:val="en-US" w:eastAsia="zh-CN" w:bidi="ar"/>
              </w:rPr>
              <w:t>财政拨款“三公”经费支出决算表</w:t>
            </w:r>
          </w:p>
        </w:tc>
      </w:tr>
      <w:tr>
        <w:tblPrEx>
          <w:tblCellMar>
            <w:top w:w="0" w:type="dxa"/>
            <w:left w:w="0" w:type="dxa"/>
            <w:bottom w:w="0" w:type="dxa"/>
            <w:right w:w="0" w:type="dxa"/>
          </w:tblCellMar>
        </w:tblPrEx>
        <w:trPr>
          <w:trHeight w:val="314" w:hRule="atLeast"/>
        </w:trPr>
        <w:tc>
          <w:tcPr>
            <w:tcW w:w="570" w:type="dxa"/>
            <w:tcBorders>
              <w:top w:val="nil"/>
              <w:left w:val="nil"/>
              <w:bottom w:val="nil"/>
              <w:right w:val="nil"/>
            </w:tcBorders>
            <w:noWrap/>
            <w:tcMar>
              <w:top w:w="15" w:type="dxa"/>
              <w:left w:w="15" w:type="dxa"/>
              <w:right w:w="15" w:type="dxa"/>
            </w:tcMar>
            <w:vAlign w:val="bottom"/>
          </w:tcPr>
          <w:p>
            <w:pPr>
              <w:rPr>
                <w:rFonts w:hint="eastAsia" w:ascii="Arial" w:hAnsi="Arial" w:cs="Arial"/>
                <w:i w:val="0"/>
                <w:color w:val="000000"/>
                <w:sz w:val="20"/>
                <w:szCs w:val="20"/>
                <w:u w:val="none"/>
              </w:rPr>
            </w:pPr>
          </w:p>
        </w:tc>
        <w:tc>
          <w:tcPr>
            <w:tcW w:w="636"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80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88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94"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9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63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2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61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87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94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885" w:type="dxa"/>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公开09表</w:t>
            </w:r>
          </w:p>
        </w:tc>
      </w:tr>
      <w:tr>
        <w:tblPrEx>
          <w:tblCellMar>
            <w:top w:w="0" w:type="dxa"/>
            <w:left w:w="0" w:type="dxa"/>
            <w:bottom w:w="0" w:type="dxa"/>
            <w:right w:w="0" w:type="dxa"/>
          </w:tblCellMar>
        </w:tblPrEx>
        <w:trPr>
          <w:trHeight w:val="378" w:hRule="atLeast"/>
        </w:trPr>
        <w:tc>
          <w:tcPr>
            <w:tcW w:w="4875" w:type="dxa"/>
            <w:gridSpan w:val="6"/>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部门：郴州市消防救援支队</w:t>
            </w:r>
          </w:p>
        </w:tc>
        <w:tc>
          <w:tcPr>
            <w:tcW w:w="63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72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615"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870" w:type="dxa"/>
            <w:tcBorders>
              <w:top w:val="nil"/>
              <w:left w:val="nil"/>
              <w:bottom w:val="nil"/>
              <w:right w:val="nil"/>
            </w:tcBorders>
            <w:noWrap/>
            <w:tcMar>
              <w:top w:w="15" w:type="dxa"/>
              <w:left w:w="15" w:type="dxa"/>
              <w:right w:w="15" w:type="dxa"/>
            </w:tcMar>
            <w:vAlign w:val="bottom"/>
          </w:tcPr>
          <w:p>
            <w:pPr>
              <w:rPr>
                <w:rFonts w:hint="default" w:ascii="Arial" w:hAnsi="Arial" w:cs="Arial"/>
                <w:i w:val="0"/>
                <w:color w:val="000000"/>
                <w:sz w:val="20"/>
                <w:szCs w:val="20"/>
                <w:u w:val="none"/>
              </w:rPr>
            </w:pPr>
          </w:p>
        </w:tc>
        <w:tc>
          <w:tcPr>
            <w:tcW w:w="1830" w:type="dxa"/>
            <w:gridSpan w:val="2"/>
            <w:tcBorders>
              <w:top w:val="nil"/>
              <w:left w:val="nil"/>
              <w:bottom w:val="nil"/>
              <w:right w:val="nil"/>
            </w:tcBorders>
            <w:noWrap/>
            <w:tcMar>
              <w:top w:w="15" w:type="dxa"/>
              <w:left w:w="15" w:type="dxa"/>
              <w:right w:w="15" w:type="dxa"/>
            </w:tcMar>
            <w:vAlign w:val="bottom"/>
          </w:tcPr>
          <w:p>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snapToGrid w:val="0"/>
                <w:color w:val="000000"/>
                <w:kern w:val="0"/>
                <w:sz w:val="20"/>
                <w:szCs w:val="20"/>
                <w:u w:val="none"/>
                <w:lang w:val="en-US" w:eastAsia="zh-CN" w:bidi="ar"/>
              </w:rPr>
              <w:t>金额单位：万元</w:t>
            </w:r>
          </w:p>
        </w:tc>
      </w:tr>
      <w:tr>
        <w:tblPrEx>
          <w:tblCellMar>
            <w:top w:w="0" w:type="dxa"/>
            <w:left w:w="0" w:type="dxa"/>
            <w:bottom w:w="0" w:type="dxa"/>
            <w:right w:w="0" w:type="dxa"/>
          </w:tblCellMar>
        </w:tblPrEx>
        <w:trPr>
          <w:trHeight w:val="362" w:hRule="atLeast"/>
        </w:trPr>
        <w:tc>
          <w:tcPr>
            <w:tcW w:w="4875"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预算数</w:t>
            </w:r>
          </w:p>
        </w:tc>
        <w:tc>
          <w:tcPr>
            <w:tcW w:w="4665" w:type="dxa"/>
            <w:gridSpan w:val="6"/>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决算数</w:t>
            </w:r>
          </w:p>
        </w:tc>
      </w:tr>
      <w:tr>
        <w:tblPrEx>
          <w:tblCellMar>
            <w:top w:w="0" w:type="dxa"/>
            <w:left w:w="0" w:type="dxa"/>
            <w:bottom w:w="0" w:type="dxa"/>
            <w:right w:w="0" w:type="dxa"/>
          </w:tblCellMar>
        </w:tblPrEx>
        <w:trPr>
          <w:trHeight w:val="333" w:hRule="atLeast"/>
        </w:trPr>
        <w:tc>
          <w:tcPr>
            <w:tcW w:w="570"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合计</w:t>
            </w:r>
          </w:p>
        </w:tc>
        <w:tc>
          <w:tcPr>
            <w:tcW w:w="636"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因公出国（境）费</w:t>
            </w:r>
          </w:p>
        </w:tc>
        <w:tc>
          <w:tcPr>
            <w:tcW w:w="2679" w:type="dxa"/>
            <w:gridSpan w:val="3"/>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公务用车购置及运行维护费</w:t>
            </w:r>
          </w:p>
        </w:tc>
        <w:tc>
          <w:tcPr>
            <w:tcW w:w="990"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公务接待费</w:t>
            </w:r>
          </w:p>
        </w:tc>
        <w:tc>
          <w:tcPr>
            <w:tcW w:w="630"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合计</w:t>
            </w:r>
          </w:p>
        </w:tc>
        <w:tc>
          <w:tcPr>
            <w:tcW w:w="720"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因公出国（境）费</w:t>
            </w:r>
          </w:p>
        </w:tc>
        <w:tc>
          <w:tcPr>
            <w:tcW w:w="2430" w:type="dxa"/>
            <w:gridSpan w:val="3"/>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公务用车购置及运行维护费</w:t>
            </w:r>
          </w:p>
        </w:tc>
        <w:tc>
          <w:tcPr>
            <w:tcW w:w="885" w:type="dxa"/>
            <w:vMerge w:val="restart"/>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公务接待费</w:t>
            </w:r>
          </w:p>
        </w:tc>
      </w:tr>
      <w:tr>
        <w:tblPrEx>
          <w:tblCellMar>
            <w:top w:w="0" w:type="dxa"/>
            <w:left w:w="0" w:type="dxa"/>
            <w:bottom w:w="0" w:type="dxa"/>
            <w:right w:w="0" w:type="dxa"/>
          </w:tblCellMar>
        </w:tblPrEx>
        <w:trPr>
          <w:trHeight w:val="718" w:hRule="atLeast"/>
        </w:trPr>
        <w:tc>
          <w:tcPr>
            <w:tcW w:w="570"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636"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80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小计</w:t>
            </w:r>
          </w:p>
        </w:tc>
        <w:tc>
          <w:tcPr>
            <w:tcW w:w="88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公务用车购置费</w:t>
            </w:r>
          </w:p>
        </w:tc>
        <w:tc>
          <w:tcPr>
            <w:tcW w:w="994"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公务用车运行维护费</w:t>
            </w:r>
          </w:p>
        </w:tc>
        <w:tc>
          <w:tcPr>
            <w:tcW w:w="99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63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720"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61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小计</w:t>
            </w:r>
          </w:p>
        </w:tc>
        <w:tc>
          <w:tcPr>
            <w:tcW w:w="87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公务用车购置费</w:t>
            </w:r>
          </w:p>
        </w:tc>
        <w:tc>
          <w:tcPr>
            <w:tcW w:w="94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公务用车运行维护费</w:t>
            </w:r>
          </w:p>
        </w:tc>
        <w:tc>
          <w:tcPr>
            <w:tcW w:w="885" w:type="dxa"/>
            <w:vMerge w:val="continue"/>
            <w:tcBorders>
              <w:top w:val="nil"/>
              <w:left w:val="nil"/>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333" w:hRule="atLeast"/>
        </w:trPr>
        <w:tc>
          <w:tcPr>
            <w:tcW w:w="57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1</w:t>
            </w:r>
          </w:p>
        </w:tc>
        <w:tc>
          <w:tcPr>
            <w:tcW w:w="636"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2</w:t>
            </w:r>
          </w:p>
        </w:tc>
        <w:tc>
          <w:tcPr>
            <w:tcW w:w="80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3</w:t>
            </w:r>
          </w:p>
        </w:tc>
        <w:tc>
          <w:tcPr>
            <w:tcW w:w="88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4</w:t>
            </w:r>
          </w:p>
        </w:tc>
        <w:tc>
          <w:tcPr>
            <w:tcW w:w="994"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5</w:t>
            </w:r>
          </w:p>
        </w:tc>
        <w:tc>
          <w:tcPr>
            <w:tcW w:w="99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6</w:t>
            </w:r>
          </w:p>
        </w:tc>
        <w:tc>
          <w:tcPr>
            <w:tcW w:w="63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7</w:t>
            </w:r>
          </w:p>
        </w:tc>
        <w:tc>
          <w:tcPr>
            <w:tcW w:w="72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8</w:t>
            </w:r>
          </w:p>
        </w:tc>
        <w:tc>
          <w:tcPr>
            <w:tcW w:w="61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9</w:t>
            </w:r>
          </w:p>
        </w:tc>
        <w:tc>
          <w:tcPr>
            <w:tcW w:w="870"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10</w:t>
            </w:r>
          </w:p>
        </w:tc>
        <w:tc>
          <w:tcPr>
            <w:tcW w:w="94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11</w:t>
            </w:r>
          </w:p>
        </w:tc>
        <w:tc>
          <w:tcPr>
            <w:tcW w:w="885" w:type="dxa"/>
            <w:tcBorders>
              <w:top w:val="nil"/>
              <w:left w:val="nil"/>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snapToGrid w:val="0"/>
                <w:color w:val="000000"/>
                <w:kern w:val="0"/>
                <w:sz w:val="16"/>
                <w:szCs w:val="16"/>
                <w:u w:val="none"/>
                <w:lang w:val="en-US" w:eastAsia="zh-CN" w:bidi="ar"/>
              </w:rPr>
              <w:t>12</w:t>
            </w:r>
          </w:p>
        </w:tc>
      </w:tr>
      <w:tr>
        <w:tblPrEx>
          <w:tblCellMar>
            <w:top w:w="0" w:type="dxa"/>
            <w:left w:w="0" w:type="dxa"/>
            <w:bottom w:w="0" w:type="dxa"/>
            <w:right w:w="0" w:type="dxa"/>
          </w:tblCellMar>
        </w:tblPrEx>
        <w:trPr>
          <w:trHeight w:val="333" w:hRule="atLeast"/>
        </w:trPr>
        <w:tc>
          <w:tcPr>
            <w:tcW w:w="570"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6"/>
                <w:szCs w:val="16"/>
                <w:u w:val="none"/>
                <w:lang w:val="en-US"/>
              </w:rPr>
            </w:pPr>
            <w:r>
              <w:rPr>
                <w:rFonts w:hint="eastAsia" w:ascii="宋体" w:hAnsi="宋体" w:eastAsia="宋体" w:cs="宋体"/>
                <w:i w:val="0"/>
                <w:snapToGrid w:val="0"/>
                <w:color w:val="000000"/>
                <w:kern w:val="0"/>
                <w:sz w:val="16"/>
                <w:szCs w:val="16"/>
                <w:u w:val="none"/>
                <w:lang w:val="en-US" w:eastAsia="zh-CN" w:bidi="ar"/>
              </w:rPr>
              <w:t>17.09</w:t>
            </w:r>
          </w:p>
        </w:tc>
        <w:tc>
          <w:tcPr>
            <w:tcW w:w="636"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80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6"/>
                <w:szCs w:val="16"/>
                <w:u w:val="none"/>
                <w:lang w:val="en-US"/>
              </w:rPr>
            </w:pPr>
            <w:r>
              <w:rPr>
                <w:rFonts w:hint="eastAsia" w:ascii="宋体" w:hAnsi="宋体" w:eastAsia="宋体" w:cs="宋体"/>
                <w:i w:val="0"/>
                <w:snapToGrid w:val="0"/>
                <w:color w:val="000000"/>
                <w:kern w:val="0"/>
                <w:sz w:val="16"/>
                <w:szCs w:val="16"/>
                <w:u w:val="none"/>
                <w:lang w:val="en-US" w:eastAsia="zh-CN" w:bidi="ar"/>
              </w:rPr>
              <w:t>17.09</w:t>
            </w:r>
          </w:p>
        </w:tc>
        <w:tc>
          <w:tcPr>
            <w:tcW w:w="88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994"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6"/>
                <w:szCs w:val="16"/>
                <w:u w:val="none"/>
                <w:lang w:val="en-US"/>
              </w:rPr>
            </w:pPr>
            <w:r>
              <w:rPr>
                <w:rFonts w:hint="eastAsia" w:ascii="宋体" w:hAnsi="宋体" w:eastAsia="宋体" w:cs="宋体"/>
                <w:i w:val="0"/>
                <w:snapToGrid w:val="0"/>
                <w:color w:val="000000"/>
                <w:kern w:val="0"/>
                <w:sz w:val="16"/>
                <w:szCs w:val="16"/>
                <w:u w:val="none"/>
                <w:lang w:val="en-US" w:eastAsia="zh-CN" w:bidi="ar"/>
              </w:rPr>
              <w:t>17.09</w:t>
            </w:r>
          </w:p>
        </w:tc>
        <w:tc>
          <w:tcPr>
            <w:tcW w:w="99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63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72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61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870"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94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c>
          <w:tcPr>
            <w:tcW w:w="885"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p>
        </w:tc>
      </w:tr>
      <w:tr>
        <w:tblPrEx>
          <w:tblCellMar>
            <w:top w:w="0" w:type="dxa"/>
            <w:left w:w="0" w:type="dxa"/>
            <w:bottom w:w="0" w:type="dxa"/>
            <w:right w:w="0" w:type="dxa"/>
          </w:tblCellMar>
        </w:tblPrEx>
        <w:trPr>
          <w:trHeight w:val="532" w:hRule="atLeast"/>
        </w:trPr>
        <w:tc>
          <w:tcPr>
            <w:tcW w:w="9540" w:type="dxa"/>
            <w:gridSpan w:val="12"/>
            <w:tcBorders>
              <w:top w:val="nil"/>
              <w:left w:val="nil"/>
              <w:bottom w:val="nil"/>
              <w:right w:val="nil"/>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snapToGrid w:val="0"/>
                <w:color w:val="000000"/>
                <w:kern w:val="0"/>
                <w:sz w:val="16"/>
                <w:szCs w:val="16"/>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sectPr>
          <w:pgSz w:w="11910" w:h="16840"/>
          <w:pgMar w:top="1431" w:right="1324" w:bottom="1133" w:left="1327" w:header="0" w:footer="1025" w:gutter="0"/>
          <w:pgNumType w:fmt="decimal"/>
          <w:cols w:space="720" w:num="1"/>
        </w:sect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3052" w:lineRule="exact"/>
        <w:textAlignment w:val="center"/>
      </w:pPr>
      <w:r>
        <mc:AlternateContent>
          <mc:Choice Requires="wps">
            <w:drawing>
              <wp:inline distT="0" distB="0" distL="114300" distR="114300">
                <wp:extent cx="7560310" cy="1938655"/>
                <wp:effectExtent l="0" t="0" r="2540" b="4445"/>
                <wp:docPr id="5" name="文本框 6"/>
                <wp:cNvGraphicFramePr/>
                <a:graphic xmlns:a="http://schemas.openxmlformats.org/drawingml/2006/main">
                  <a:graphicData uri="http://schemas.microsoft.com/office/word/2010/wordprocessingShape">
                    <wps:wsp>
                      <wps:cNvSpPr txBox="true"/>
                      <wps:spPr>
                        <a:xfrm>
                          <a:off x="0" y="0"/>
                          <a:ext cx="7560310" cy="1938655"/>
                        </a:xfrm>
                        <a:prstGeom prst="rect">
                          <a:avLst/>
                        </a:prstGeom>
                        <a:solidFill>
                          <a:srgbClr val="8EADD1"/>
                        </a:solidFill>
                        <a:ln>
                          <a:noFill/>
                        </a:ln>
                        <a:effectLst/>
                      </wps:spPr>
                      <wps:txbx>
                        <w:txbxContent>
                          <w:p>
                            <w:pPr>
                              <w:spacing w:line="264" w:lineRule="auto"/>
                              <w:rPr>
                                <w:rFonts w:ascii="Arial"/>
                                <w:sz w:val="21"/>
                              </w:rPr>
                            </w:pP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numPr>
                                <w:ilvl w:val="0"/>
                                <w:numId w:val="1"/>
                              </w:numPr>
                              <w:spacing w:before="169" w:line="241" w:lineRule="auto"/>
                              <w:rPr>
                                <w:rFonts w:ascii="黑体" w:hAnsi="黑体" w:eastAsia="黑体" w:cs="黑体"/>
                                <w:b/>
                                <w:bCs/>
                                <w:spacing w:val="-5"/>
                                <w:sz w:val="52"/>
                                <w:szCs w:val="52"/>
                              </w:rPr>
                            </w:pPr>
                            <w:r>
                              <w:rPr>
                                <w:rFonts w:hint="eastAsia" w:ascii="黑体" w:hAnsi="黑体" w:eastAsia="黑体" w:cs="黑体"/>
                                <w:b/>
                                <w:bCs/>
                                <w:spacing w:val="-5"/>
                                <w:sz w:val="52"/>
                                <w:szCs w:val="52"/>
                                <w:lang w:val="en-US" w:eastAsia="zh-CN"/>
                              </w:rPr>
                              <w:t xml:space="preserve">   郴州市消防救援支队本级</w:t>
                            </w:r>
                            <w:r>
                              <w:rPr>
                                <w:rFonts w:ascii="Times New Roman" w:hAnsi="Times New Roman" w:eastAsia="Times New Roman" w:cs="Times New Roman"/>
                                <w:b/>
                                <w:bCs/>
                                <w:spacing w:val="-5"/>
                                <w:sz w:val="52"/>
                                <w:szCs w:val="52"/>
                              </w:rPr>
                              <w:t>202</w:t>
                            </w:r>
                            <w:r>
                              <w:rPr>
                                <w:rFonts w:hint="default" w:ascii="Times New Roman" w:hAnsi="Times New Roman" w:eastAsia="Times New Roman" w:cs="Times New Roman"/>
                                <w:b/>
                                <w:bCs/>
                                <w:spacing w:val="-5"/>
                                <w:sz w:val="52"/>
                                <w:szCs w:val="52"/>
                                <w:lang w:val="en"/>
                              </w:rPr>
                              <w:t>5</w:t>
                            </w:r>
                            <w:r>
                              <w:rPr>
                                <w:rFonts w:ascii="黑体" w:hAnsi="黑体" w:eastAsia="黑体" w:cs="黑体"/>
                                <w:b/>
                                <w:bCs/>
                                <w:spacing w:val="-5"/>
                                <w:sz w:val="52"/>
                                <w:szCs w:val="52"/>
                              </w:rPr>
                              <w:t>年度</w:t>
                            </w:r>
                          </w:p>
                          <w:p>
                            <w:pPr>
                              <w:numPr>
                                <w:ilvl w:val="0"/>
                                <w:numId w:val="0"/>
                              </w:numPr>
                              <w:spacing w:before="169" w:line="241" w:lineRule="auto"/>
                              <w:ind w:firstLine="4096" w:firstLineChars="800"/>
                              <w:rPr>
                                <w:rFonts w:ascii="黑体" w:hAnsi="黑体" w:eastAsia="黑体" w:cs="黑体"/>
                                <w:sz w:val="52"/>
                                <w:szCs w:val="52"/>
                              </w:rPr>
                            </w:pPr>
                            <w:r>
                              <w:rPr>
                                <w:rFonts w:ascii="黑体" w:hAnsi="黑体" w:eastAsia="黑体" w:cs="黑体"/>
                                <w:b/>
                                <w:bCs/>
                                <w:spacing w:val="-5"/>
                                <w:sz w:val="52"/>
                                <w:szCs w:val="52"/>
                              </w:rPr>
                              <w:t>决算情况说明</w:t>
                            </w:r>
                          </w:p>
                        </w:txbxContent>
                      </wps:txbx>
                      <wps:bodyPr vert="horz" wrap="square" lIns="0" tIns="0" rIns="0" bIns="0" anchor="t" anchorCtr="false" upright="true"/>
                    </wps:wsp>
                  </a:graphicData>
                </a:graphic>
              </wp:inline>
            </w:drawing>
          </mc:Choice>
          <mc:Fallback>
            <w:pict>
              <v:shape id="文本框 6" o:spid="_x0000_s1026" o:spt="202" type="#_x0000_t202" style="height:152.65pt;width:595.3pt;" fillcolor="#8EADD1" filled="t" stroked="f" coordsize="21600,21600" o:gfxdata="UEsFBgAAAAAAAAAAAAAAAAAAAAAAAFBLAwQKAAAAAACHTuJAAAAAAAAAAAAAAAAABAAAAGRycy9Q&#10;SwMEFAAAAAgAh07iQBFFuCDWAAAABgEAAA8AAABkcnMvZG93bnJldi54bWxNj81OwzAQhO9IvIO1&#10;SNyoHSoqCHF6QOJGQW2Ret3G2/w0Xkex06Q8PS4XellpNKOZb7PlZFtxot7XjjUkMwWCuHCm5lLD&#10;9/b94RmED8gGW8ek4UwelvntTYapcSOv6bQJpYgl7FPUUIXQpVL6oiKLfuY64ugdXG8xRNmX0vQ4&#10;xnLbykelFtJizXGhwo7eKiqOm8Fq2NXNap2cP2gommb3Na1+Prdjo/X9XaJeQQSawn8YLvgRHfLI&#10;tHcDGy9aDfGR8HcvXvKiFiD2GubqaQ4yz+Q1fv4LUEsDBBQAAAAIAIdO4kAjSxgu3wEAAJkDAAAO&#10;AAAAZHJzL2Uyb0RvYy54bWytU0uO1DAQ3SNxB8t7OsmMuumJOj2CaQYhIUAaOIDjOIkl/yi7O2kO&#10;ADdgNRv2nKvPMeV8mgF2iI1TPz/Xe1XZXPdakYMAL60paLZIKRGG20qapqCfPt4+W1PiAzMVU9aI&#10;gh6Fp9fbp082ncvFhW2tqgQQBDE+71xB2xBcniSet0Izv7BOGEzWFjQL6EKTVMA6RNcquUjTVdJZ&#10;qBxYLrzH6G5M0u2AX9eCh/d17UUgqqDYWxhOGM4ynsl2w/IGmGsln9pg/9CFZtLgo2eoHQuM7EH+&#10;BaUlB+ttHRbc6sTWteRi4IBssvQPNnctc2LgguJ4d5bJ/z9Y/u7wAYisCrqkxDCNIzp9/3a6/3n6&#10;8ZWsojyd8zlW3TmsC/1L2xc0wF7MKY/xSLyvQccvUiJYglofz/qKPhCOwefLVXqZYYpjLru6XK+W&#10;y4iT/LruwIfXwmoSjYICDnDQlR3e+jCWziXxNW+VrG6lUoMDTXmjgBwYDnv96sVul03ov5UpE4uN&#10;jddGxDEihnWZnomsR2rRCn3ZT1KUtjqiErjy2F5r4QslHa5PQf3nPQNBiXpjcD5x12YDZqOcDWY4&#10;XkUhKRnNm4BezZRHgL0D2bSIPsucxBZw/oNQ067GBXvso/34j9o+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BFFuCDWAAAABgEAAA8AAAAAAAAAAQAgAAAAOAAAAGRycy9kb3ducmV2LnhtbFBLAQIU&#10;ABQAAAAIAIdO4kAjSxgu3wEAAJkDAAAOAAAAAAAAAAEAIAAAADsBAABkcnMvZTJvRG9jLnhtbFBL&#10;BQYAAAAABgAGAFkBAACMBQAAAAA=&#10;">
                <v:fill on="t" focussize="0,0"/>
                <v:stroke on="f"/>
                <v:imagedata o:title=""/>
                <o:lock v:ext="edit" aspectratio="f"/>
                <v:textbox inset="0mm,0mm,0mm,0mm">
                  <w:txbxContent>
                    <w:p>
                      <w:pPr>
                        <w:spacing w:line="264" w:lineRule="auto"/>
                        <w:rPr>
                          <w:rFonts w:ascii="Arial"/>
                          <w:sz w:val="21"/>
                        </w:rPr>
                      </w:pP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numPr>
                          <w:ilvl w:val="0"/>
                          <w:numId w:val="1"/>
                        </w:numPr>
                        <w:spacing w:before="169" w:line="241" w:lineRule="auto"/>
                        <w:rPr>
                          <w:rFonts w:ascii="黑体" w:hAnsi="黑体" w:eastAsia="黑体" w:cs="黑体"/>
                          <w:b/>
                          <w:bCs/>
                          <w:spacing w:val="-5"/>
                          <w:sz w:val="52"/>
                          <w:szCs w:val="52"/>
                        </w:rPr>
                      </w:pPr>
                      <w:r>
                        <w:rPr>
                          <w:rFonts w:hint="eastAsia" w:ascii="黑体" w:hAnsi="黑体" w:eastAsia="黑体" w:cs="黑体"/>
                          <w:b/>
                          <w:bCs/>
                          <w:spacing w:val="-5"/>
                          <w:sz w:val="52"/>
                          <w:szCs w:val="52"/>
                          <w:lang w:val="en-US" w:eastAsia="zh-CN"/>
                        </w:rPr>
                        <w:t xml:space="preserve">   郴州市消防救援支队本级</w:t>
                      </w:r>
                      <w:r>
                        <w:rPr>
                          <w:rFonts w:ascii="Times New Roman" w:hAnsi="Times New Roman" w:eastAsia="Times New Roman" w:cs="Times New Roman"/>
                          <w:b/>
                          <w:bCs/>
                          <w:spacing w:val="-5"/>
                          <w:sz w:val="52"/>
                          <w:szCs w:val="52"/>
                        </w:rPr>
                        <w:t>202</w:t>
                      </w:r>
                      <w:r>
                        <w:rPr>
                          <w:rFonts w:hint="default" w:ascii="Times New Roman" w:hAnsi="Times New Roman" w:eastAsia="Times New Roman" w:cs="Times New Roman"/>
                          <w:b/>
                          <w:bCs/>
                          <w:spacing w:val="-5"/>
                          <w:sz w:val="52"/>
                          <w:szCs w:val="52"/>
                          <w:lang w:val="en"/>
                        </w:rPr>
                        <w:t>5</w:t>
                      </w:r>
                      <w:r>
                        <w:rPr>
                          <w:rFonts w:ascii="黑体" w:hAnsi="黑体" w:eastAsia="黑体" w:cs="黑体"/>
                          <w:b/>
                          <w:bCs/>
                          <w:spacing w:val="-5"/>
                          <w:sz w:val="52"/>
                          <w:szCs w:val="52"/>
                        </w:rPr>
                        <w:t>年度</w:t>
                      </w:r>
                    </w:p>
                    <w:p>
                      <w:pPr>
                        <w:numPr>
                          <w:ilvl w:val="0"/>
                          <w:numId w:val="0"/>
                        </w:numPr>
                        <w:spacing w:before="169" w:line="241" w:lineRule="auto"/>
                        <w:ind w:firstLine="4096" w:firstLineChars="800"/>
                        <w:rPr>
                          <w:rFonts w:ascii="黑体" w:hAnsi="黑体" w:eastAsia="黑体" w:cs="黑体"/>
                          <w:sz w:val="52"/>
                          <w:szCs w:val="52"/>
                        </w:rPr>
                      </w:pPr>
                      <w:r>
                        <w:rPr>
                          <w:rFonts w:ascii="黑体" w:hAnsi="黑体" w:eastAsia="黑体" w:cs="黑体"/>
                          <w:b/>
                          <w:bCs/>
                          <w:spacing w:val="-5"/>
                          <w:sz w:val="52"/>
                          <w:szCs w:val="52"/>
                        </w:rPr>
                        <w:t>决算情况说明</w:t>
                      </w:r>
                    </w:p>
                  </w:txbxContent>
                </v:textbox>
                <w10:wrap type="none"/>
                <w10:anchorlock/>
              </v:shape>
            </w:pict>
          </mc:Fallback>
        </mc:AlternateContent>
      </w:r>
    </w:p>
    <w:p>
      <w:pPr>
        <w:sectPr>
          <w:footerReference r:id="rId12" w:type="default"/>
          <w:pgSz w:w="11906" w:h="16839"/>
          <w:pgMar w:top="1431" w:right="0" w:bottom="1156" w:left="0" w:header="0" w:footer="994" w:gutter="0"/>
          <w:pgNumType w:fmt="decimal"/>
          <w:cols w:space="720" w:num="1"/>
        </w:sectPr>
      </w:pPr>
    </w:p>
    <w:p>
      <w:pPr>
        <w:widowControl w:val="0"/>
        <w:numPr>
          <w:ilvl w:val="0"/>
          <w:numId w:val="0"/>
        </w:numPr>
        <w:kinsoku/>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一、收入支出决算总体情况说明本级2025年度</w:t>
      </w:r>
    </w:p>
    <w:p>
      <w:pPr>
        <w:pStyle w:val="2"/>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决算情况说明</w:t>
      </w:r>
    </w:p>
    <w:p>
      <w:pPr>
        <w:pStyle w:val="2"/>
        <w:rPr>
          <w:rFonts w:hint="eastAsia" w:ascii="方正黑体_GBK" w:hAnsi="方正黑体_GBK" w:eastAsia="方正黑体_GBK" w:cs="方正黑体_GBK"/>
          <w:snapToGrid/>
          <w:spacing w:val="-6"/>
          <w:kern w:val="0"/>
          <w:sz w:val="32"/>
          <w:szCs w:val="32"/>
          <w:lang w:val="zh-CN" w:eastAsia="zh-CN" w:bidi="zh-CN"/>
        </w:rPr>
      </w:pPr>
    </w:p>
    <w:p>
      <w:pPr>
        <w:widowControl/>
        <w:spacing w:line="540" w:lineRule="exact"/>
        <w:ind w:right="298" w:rightChars="142" w:firstLine="640" w:firstLineChars="200"/>
        <w:jc w:val="left"/>
        <w:rPr>
          <w:rFonts w:hint="eastAsia" w:ascii="方正仿宋_GBK" w:hAnsi="方正仿宋_GBK" w:eastAsia="方正仿宋_GBK" w:cs="方正仿宋_GBK"/>
          <w:snapToGrid/>
          <w:color w:val="000000"/>
          <w:kern w:val="0"/>
          <w:sz w:val="32"/>
          <w:szCs w:val="32"/>
          <w:lang w:val="zh-CN" w:eastAsia="zh-CN" w:bidi="zh-CN"/>
        </w:rPr>
      </w:pPr>
      <w:r>
        <w:rPr>
          <w:rFonts w:hint="eastAsia" w:ascii="方正仿宋_GBK" w:hAnsi="方正仿宋_GBK" w:eastAsia="方正仿宋_GBK" w:cs="方正仿宋_GBK"/>
          <w:snapToGrid/>
          <w:color w:val="000000"/>
          <w:kern w:val="0"/>
          <w:sz w:val="32"/>
          <w:szCs w:val="32"/>
          <w:lang w:val="zh-CN" w:eastAsia="zh-CN" w:bidi="zh-CN"/>
        </w:rPr>
        <w:t>202</w:t>
      </w:r>
      <w:r>
        <w:rPr>
          <w:rFonts w:hint="default" w:ascii="方正仿宋_GBK" w:hAnsi="方正仿宋_GBK" w:eastAsia="方正仿宋_GBK" w:cs="方正仿宋_GBK"/>
          <w:snapToGrid/>
          <w:color w:val="000000"/>
          <w:kern w:val="0"/>
          <w:sz w:val="32"/>
          <w:szCs w:val="32"/>
          <w:lang w:val="en" w:eastAsia="zh-CN" w:bidi="zh-CN"/>
        </w:rPr>
        <w:t>5</w:t>
      </w:r>
      <w:r>
        <w:rPr>
          <w:rFonts w:hint="eastAsia" w:ascii="方正仿宋_GBK" w:hAnsi="方正仿宋_GBK" w:eastAsia="方正仿宋_GBK" w:cs="方正仿宋_GBK"/>
          <w:snapToGrid/>
          <w:color w:val="000000"/>
          <w:kern w:val="0"/>
          <w:sz w:val="32"/>
          <w:szCs w:val="32"/>
          <w:lang w:val="zh-CN" w:eastAsia="zh-CN" w:bidi="zh-CN"/>
        </w:rPr>
        <w:t>年度收、支总额</w:t>
      </w:r>
      <w:r>
        <w:rPr>
          <w:rFonts w:hint="eastAsia" w:ascii="方正仿宋_GBK" w:hAnsi="方正仿宋_GBK" w:eastAsia="方正仿宋_GBK" w:cs="方正仿宋_GBK"/>
          <w:snapToGrid/>
          <w:color w:val="000000"/>
          <w:kern w:val="0"/>
          <w:sz w:val="32"/>
          <w:szCs w:val="32"/>
          <w:lang w:val="en-US" w:eastAsia="zh-CN" w:bidi="zh-CN"/>
        </w:rPr>
        <w:t>19284.7</w:t>
      </w:r>
      <w:r>
        <w:rPr>
          <w:rFonts w:hint="eastAsia" w:ascii="方正仿宋_GBK" w:hAnsi="方正仿宋_GBK" w:eastAsia="方正仿宋_GBK" w:cs="方正仿宋_GBK"/>
          <w:snapToGrid/>
          <w:color w:val="000000"/>
          <w:kern w:val="0"/>
          <w:sz w:val="32"/>
          <w:szCs w:val="32"/>
          <w:lang w:val="zh-CN" w:eastAsia="zh-CN" w:bidi="zh-CN"/>
        </w:rPr>
        <w:t>万元，全部为一般公共预算。与202</w:t>
      </w:r>
      <w:r>
        <w:rPr>
          <w:rFonts w:hint="default" w:ascii="方正仿宋_GBK" w:hAnsi="方正仿宋_GBK" w:eastAsia="方正仿宋_GBK" w:cs="方正仿宋_GBK"/>
          <w:snapToGrid/>
          <w:color w:val="000000"/>
          <w:kern w:val="0"/>
          <w:sz w:val="32"/>
          <w:szCs w:val="32"/>
          <w:lang w:val="en" w:eastAsia="zh-CN" w:bidi="zh-CN"/>
        </w:rPr>
        <w:t>4</w:t>
      </w:r>
      <w:r>
        <w:rPr>
          <w:rFonts w:hint="eastAsia" w:ascii="方正仿宋_GBK" w:hAnsi="方正仿宋_GBK" w:eastAsia="方正仿宋_GBK" w:cs="方正仿宋_GBK"/>
          <w:snapToGrid/>
          <w:color w:val="000000"/>
          <w:kern w:val="0"/>
          <w:sz w:val="32"/>
          <w:szCs w:val="32"/>
          <w:lang w:val="zh-CN" w:eastAsia="zh-CN" w:bidi="zh-CN"/>
        </w:rPr>
        <w:t>年度相比，收、支总额减少</w:t>
      </w:r>
      <w:r>
        <w:rPr>
          <w:rFonts w:hint="eastAsia" w:ascii="方正仿宋_GBK" w:hAnsi="方正仿宋_GBK" w:eastAsia="方正仿宋_GBK" w:cs="方正仿宋_GBK"/>
          <w:snapToGrid/>
          <w:color w:val="000000"/>
          <w:kern w:val="0"/>
          <w:sz w:val="32"/>
          <w:szCs w:val="32"/>
          <w:lang w:val="en-US" w:eastAsia="zh-CN" w:bidi="zh-CN"/>
        </w:rPr>
        <w:t>10547.17</w:t>
      </w:r>
      <w:r>
        <w:rPr>
          <w:rFonts w:hint="eastAsia" w:ascii="方正仿宋_GBK" w:hAnsi="方正仿宋_GBK" w:eastAsia="方正仿宋_GBK" w:cs="方正仿宋_GBK"/>
          <w:snapToGrid/>
          <w:color w:val="000000"/>
          <w:kern w:val="0"/>
          <w:sz w:val="32"/>
          <w:szCs w:val="32"/>
          <w:lang w:val="zh-CN" w:eastAsia="zh-CN" w:bidi="zh-CN"/>
        </w:rPr>
        <w:t>万元，下降</w:t>
      </w:r>
      <w:r>
        <w:rPr>
          <w:rFonts w:hint="eastAsia" w:ascii="方正仿宋_GBK" w:hAnsi="方正仿宋_GBK" w:eastAsia="方正仿宋_GBK" w:cs="方正仿宋_GBK"/>
          <w:snapToGrid/>
          <w:color w:val="000000"/>
          <w:kern w:val="0"/>
          <w:sz w:val="32"/>
          <w:szCs w:val="32"/>
          <w:lang w:val="en-US" w:eastAsia="zh-CN" w:bidi="zh-CN"/>
        </w:rPr>
        <w:t>35.4</w:t>
      </w:r>
      <w:r>
        <w:rPr>
          <w:rFonts w:hint="eastAsia" w:ascii="方正仿宋_GBK" w:hAnsi="方正仿宋_GBK" w:eastAsia="方正仿宋_GBK" w:cs="方正仿宋_GBK"/>
          <w:snapToGrid/>
          <w:color w:val="000000"/>
          <w:kern w:val="0"/>
          <w:sz w:val="32"/>
          <w:szCs w:val="32"/>
          <w:lang w:val="zh-CN" w:eastAsia="zh-CN" w:bidi="zh-CN"/>
        </w:rPr>
        <w:t>%，减少的主要原因：一是队伍补缴以前年度养老、医疗保险工作已基本完成，相应减少支出；二是</w:t>
      </w:r>
      <w:r>
        <w:rPr>
          <w:rFonts w:hint="eastAsia" w:ascii="Times New Roman" w:hAnsi="Times New Roman" w:eastAsia="方正仿宋_GBK"/>
          <w:color w:val="000000"/>
          <w:kern w:val="0"/>
          <w:sz w:val="32"/>
          <w:szCs w:val="32"/>
          <w:highlight w:val="none"/>
          <w:lang w:eastAsia="zh-CN"/>
        </w:rPr>
        <w:t>国债项目实施完成阶段性任务，其他收入减少。</w:t>
      </w:r>
    </w:p>
    <w:p>
      <w:pPr>
        <w:keepNext w:val="0"/>
        <w:keepLines w:val="0"/>
        <w:pageBreakBefore w:val="0"/>
        <w:widowControl w:val="0"/>
        <w:kinsoku/>
        <w:wordWrap/>
        <w:overflowPunct/>
        <w:topLinePunct w:val="0"/>
        <w:autoSpaceDE w:val="0"/>
        <w:autoSpaceDN w:val="0"/>
        <w:bidi w:val="0"/>
        <w:adjustRightInd/>
        <w:snapToGrid/>
        <w:spacing w:before="100" w:beforeAutospacing="1" w:line="317" w:lineRule="auto"/>
        <w:ind w:right="630" w:rightChars="300" w:firstLine="420" w:firstLineChars="200"/>
        <w:jc w:val="left"/>
        <w:textAlignment w:val="auto"/>
        <w:rPr>
          <w:rFonts w:hint="default" w:eastAsia="宋体"/>
          <w:lang w:val="en-US" w:eastAsia="zh-CN"/>
        </w:rPr>
      </w:pPr>
      <w:r>
        <w:rPr>
          <w:rFonts w:hint="eastAsia" w:eastAsia="宋体"/>
          <w:lang w:val="en-US" w:eastAsia="zh-CN"/>
        </w:rPr>
        <w:t xml:space="preserve">         </w:t>
      </w:r>
      <w:r>
        <w:drawing>
          <wp:inline distT="0" distB="0" distL="114300" distR="114300">
            <wp:extent cx="4191000" cy="2514600"/>
            <wp:effectExtent l="4445" t="4445" r="14605" b="14605"/>
            <wp:docPr id="7" name="图表 2"/>
            <wp:cNvGraphicFramePr>
              <a:graphicFrameLocks xmlns:a="http://schemas.openxmlformats.org/drawingml/2006/main" noChangeAspect="true"/>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rFonts w:hint="eastAsia" w:eastAsia="宋体"/>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100" w:beforeAutospacing="1" w:line="240" w:lineRule="auto"/>
        <w:ind w:firstLine="616" w:firstLineChars="200"/>
        <w:jc w:val="left"/>
        <w:textAlignment w:val="auto"/>
        <w:rPr>
          <w:rFonts w:hint="eastAsia" w:ascii="方正黑体_GBK" w:hAnsi="方正黑体_GBK" w:eastAsia="方正黑体_GBK" w:cs="方正黑体_GBK"/>
          <w:snapToGrid/>
          <w:spacing w:val="-6"/>
          <w:kern w:val="0"/>
          <w:sz w:val="32"/>
          <w:szCs w:val="32"/>
          <w:lang w:val="en" w:eastAsia="zh-CN" w:bidi="zh-CN"/>
        </w:rPr>
      </w:pPr>
      <w:r>
        <w:rPr>
          <w:rFonts w:hint="eastAsia" w:ascii="方正黑体_GBK" w:hAnsi="方正黑体_GBK" w:eastAsia="方正黑体_GBK" w:cs="方正黑体_GBK"/>
          <w:snapToGrid/>
          <w:spacing w:val="-6"/>
          <w:kern w:val="0"/>
          <w:sz w:val="32"/>
          <w:szCs w:val="32"/>
          <w:lang w:val="en" w:eastAsia="zh-CN" w:bidi="zh-CN"/>
        </w:rPr>
        <w:t>二、收入决算情况说明</w:t>
      </w:r>
    </w:p>
    <w:p>
      <w:pPr>
        <w:keepNext w:val="0"/>
        <w:keepLines w:val="0"/>
        <w:pageBreakBefore w:val="0"/>
        <w:widowControl w:val="0"/>
        <w:kinsoku/>
        <w:wordWrap/>
        <w:overflowPunct/>
        <w:topLinePunct w:val="0"/>
        <w:autoSpaceDE w:val="0"/>
        <w:autoSpaceDN w:val="0"/>
        <w:bidi w:val="0"/>
        <w:adjustRightInd/>
        <w:snapToGrid/>
        <w:spacing w:before="100" w:beforeAutospacing="1" w:line="240" w:lineRule="auto"/>
        <w:ind w:right="118" w:rightChars="56" w:firstLine="640" w:firstLineChars="200"/>
        <w:jc w:val="left"/>
        <w:textAlignment w:val="auto"/>
        <w:rPr>
          <w:rFonts w:hint="default"/>
          <w:lang w:val="en" w:eastAsia="zh-CN"/>
        </w:rPr>
      </w:pPr>
      <w:r>
        <w:rPr>
          <w:rFonts w:hint="eastAsia" w:ascii="方正仿宋_GBK" w:hAnsi="方正仿宋_GBK" w:eastAsia="方正仿宋_GBK" w:cs="方正仿宋_GBK"/>
          <w:snapToGrid/>
          <w:kern w:val="0"/>
          <w:sz w:val="32"/>
          <w:szCs w:val="32"/>
          <w:lang w:val="zh-CN" w:eastAsia="zh-CN" w:bidi="zh-CN"/>
        </w:rPr>
        <w:t>202</w:t>
      </w:r>
      <w:r>
        <w:rPr>
          <w:rFonts w:hint="eastAsia" w:ascii="方正仿宋_GBK" w:hAnsi="方正仿宋_GBK" w:eastAsia="方正仿宋_GBK" w:cs="方正仿宋_GBK"/>
          <w:snapToGrid/>
          <w:kern w:val="0"/>
          <w:sz w:val="32"/>
          <w:szCs w:val="32"/>
          <w:lang w:val="en-US" w:eastAsia="zh-CN" w:bidi="zh-CN"/>
        </w:rPr>
        <w:t>5</w:t>
      </w:r>
      <w:r>
        <w:rPr>
          <w:rFonts w:hint="eastAsia" w:ascii="方正仿宋_GBK" w:hAnsi="方正仿宋_GBK" w:eastAsia="方正仿宋_GBK" w:cs="方正仿宋_GBK"/>
          <w:snapToGrid/>
          <w:kern w:val="0"/>
          <w:sz w:val="32"/>
          <w:szCs w:val="32"/>
          <w:lang w:val="zh-CN" w:eastAsia="zh-CN" w:bidi="zh-CN"/>
        </w:rPr>
        <w:t>年度当年收入合计</w:t>
      </w:r>
      <w:r>
        <w:rPr>
          <w:rFonts w:hint="eastAsia" w:ascii="方正仿宋_GBK" w:hAnsi="方正仿宋_GBK" w:eastAsia="方正仿宋_GBK" w:cs="方正仿宋_GBK"/>
          <w:snapToGrid/>
          <w:kern w:val="0"/>
          <w:sz w:val="32"/>
          <w:szCs w:val="32"/>
          <w:lang w:val="en-US" w:eastAsia="zh-CN" w:bidi="zh-CN"/>
        </w:rPr>
        <w:t>13690.64</w:t>
      </w:r>
      <w:r>
        <w:rPr>
          <w:rFonts w:hint="eastAsia" w:ascii="方正仿宋_GBK" w:hAnsi="方正仿宋_GBK" w:eastAsia="方正仿宋_GBK" w:cs="方正仿宋_GBK"/>
          <w:snapToGrid/>
          <w:kern w:val="0"/>
          <w:sz w:val="32"/>
          <w:szCs w:val="32"/>
          <w:lang w:val="zh-CN" w:eastAsia="zh-CN" w:bidi="zh-CN"/>
        </w:rPr>
        <w:t>万元，其中：财政拨款收入</w:t>
      </w:r>
      <w:r>
        <w:rPr>
          <w:rFonts w:hint="eastAsia" w:ascii="方正仿宋_GBK" w:hAnsi="方正仿宋_GBK" w:eastAsia="方正仿宋_GBK" w:cs="方正仿宋_GBK"/>
          <w:snapToGrid/>
          <w:kern w:val="0"/>
          <w:sz w:val="32"/>
          <w:szCs w:val="32"/>
          <w:lang w:val="en-US" w:eastAsia="zh-CN" w:bidi="zh-CN"/>
        </w:rPr>
        <w:t>8690.03</w:t>
      </w:r>
      <w:r>
        <w:rPr>
          <w:rFonts w:hint="eastAsia" w:ascii="方正仿宋_GBK" w:hAnsi="方正仿宋_GBK" w:eastAsia="方正仿宋_GBK" w:cs="方正仿宋_GBK"/>
          <w:snapToGrid/>
          <w:kern w:val="0"/>
          <w:sz w:val="32"/>
          <w:szCs w:val="32"/>
          <w:lang w:val="zh-CN" w:eastAsia="zh-CN" w:bidi="zh-CN"/>
        </w:rPr>
        <w:t>万元，占</w:t>
      </w:r>
      <w:r>
        <w:rPr>
          <w:rFonts w:hint="eastAsia" w:ascii="方正仿宋_GBK" w:hAnsi="方正仿宋_GBK" w:eastAsia="方正仿宋_GBK" w:cs="方正仿宋_GBK"/>
          <w:snapToGrid/>
          <w:kern w:val="0"/>
          <w:sz w:val="32"/>
          <w:szCs w:val="32"/>
          <w:lang w:val="en-US" w:eastAsia="zh-CN" w:bidi="zh-CN"/>
        </w:rPr>
        <w:t>63.5</w:t>
      </w:r>
      <w:r>
        <w:rPr>
          <w:rFonts w:hint="eastAsia" w:ascii="方正仿宋_GBK" w:hAnsi="方正仿宋_GBK" w:eastAsia="方正仿宋_GBK" w:cs="方正仿宋_GBK"/>
          <w:snapToGrid/>
          <w:kern w:val="0"/>
          <w:sz w:val="32"/>
          <w:szCs w:val="32"/>
          <w:lang w:val="zh-CN" w:eastAsia="zh-CN" w:bidi="zh-CN"/>
        </w:rPr>
        <w:t>%</w:t>
      </w:r>
      <w:r>
        <w:rPr>
          <w:rFonts w:hint="default" w:ascii="方正仿宋_GBK" w:hAnsi="方正仿宋_GBK" w:eastAsia="方正仿宋_GBK" w:cs="方正仿宋_GBK"/>
          <w:snapToGrid/>
          <w:kern w:val="0"/>
          <w:sz w:val="32"/>
          <w:szCs w:val="32"/>
          <w:lang w:val="en" w:eastAsia="zh-CN" w:bidi="zh-CN"/>
        </w:rPr>
        <w:t>；</w:t>
      </w:r>
      <w:r>
        <w:rPr>
          <w:rFonts w:hint="eastAsia" w:ascii="方正仿宋_GBK" w:hAnsi="方正仿宋_GBK" w:eastAsia="方正仿宋_GBK" w:cs="方正仿宋_GBK"/>
          <w:snapToGrid/>
          <w:kern w:val="0"/>
          <w:sz w:val="32"/>
          <w:szCs w:val="32"/>
          <w:lang w:val="zh-CN" w:eastAsia="zh-CN" w:bidi="zh-CN"/>
        </w:rPr>
        <w:t>其他收入</w:t>
      </w:r>
      <w:r>
        <w:rPr>
          <w:rFonts w:hint="eastAsia" w:ascii="方正仿宋_GBK" w:hAnsi="方正仿宋_GBK" w:eastAsia="方正仿宋_GBK" w:cs="方正仿宋_GBK"/>
          <w:snapToGrid/>
          <w:kern w:val="0"/>
          <w:sz w:val="32"/>
          <w:szCs w:val="32"/>
          <w:lang w:val="en-US" w:eastAsia="zh-CN" w:bidi="zh-CN"/>
        </w:rPr>
        <w:t>5000.61</w:t>
      </w:r>
      <w:r>
        <w:rPr>
          <w:rFonts w:hint="eastAsia" w:ascii="方正仿宋_GBK" w:hAnsi="方正仿宋_GBK" w:eastAsia="方正仿宋_GBK" w:cs="方正仿宋_GBK"/>
          <w:snapToGrid/>
          <w:kern w:val="0"/>
          <w:sz w:val="32"/>
          <w:szCs w:val="32"/>
          <w:lang w:val="zh-CN" w:eastAsia="zh-CN" w:bidi="zh-CN"/>
        </w:rPr>
        <w:t>万元，占</w:t>
      </w:r>
      <w:r>
        <w:rPr>
          <w:rFonts w:hint="eastAsia" w:ascii="方正仿宋_GBK" w:hAnsi="方正仿宋_GBK" w:eastAsia="方正仿宋_GBK" w:cs="方正仿宋_GBK"/>
          <w:snapToGrid/>
          <w:kern w:val="0"/>
          <w:sz w:val="32"/>
          <w:szCs w:val="32"/>
          <w:lang w:val="en-US" w:eastAsia="zh-CN" w:bidi="zh-CN"/>
        </w:rPr>
        <w:t>36.5</w:t>
      </w:r>
      <w:r>
        <w:rPr>
          <w:rFonts w:hint="eastAsia" w:ascii="方正仿宋_GBK" w:hAnsi="方正仿宋_GBK" w:eastAsia="方正仿宋_GBK" w:cs="方正仿宋_GBK"/>
          <w:snapToGrid/>
          <w:kern w:val="0"/>
          <w:sz w:val="32"/>
          <w:szCs w:val="32"/>
          <w:lang w:val="zh-CN" w:eastAsia="zh-CN" w:bidi="zh-CN"/>
        </w:rPr>
        <w:t>%。</w:t>
      </w:r>
    </w:p>
    <w:p>
      <w:pPr>
        <w:pStyle w:val="2"/>
        <w:keepNext w:val="0"/>
        <w:keepLines w:val="0"/>
        <w:pageBreakBefore w:val="0"/>
        <w:widowControl/>
        <w:kinsoku w:val="0"/>
        <w:wordWrap/>
        <w:overflowPunct/>
        <w:topLinePunct w:val="0"/>
        <w:autoSpaceDE w:val="0"/>
        <w:autoSpaceDN w:val="0"/>
        <w:bidi w:val="0"/>
        <w:adjustRightInd w:val="0"/>
        <w:snapToGrid w:val="0"/>
        <w:spacing w:line="720" w:lineRule="auto"/>
        <w:textAlignment w:val="baseline"/>
        <w:sectPr>
          <w:footerReference r:id="rId13" w:type="default"/>
          <w:pgSz w:w="11910" w:h="16840"/>
          <w:pgMar w:top="1140" w:right="1185" w:bottom="1140" w:left="1185" w:header="0" w:footer="1015" w:gutter="0"/>
          <w:pgNumType w:fmt="decimal"/>
          <w:cols w:space="720" w:num="1"/>
          <w:rtlGutter w:val="0"/>
          <w:docGrid w:linePitch="1" w:charSpace="0"/>
        </w:sectPr>
      </w:pPr>
      <w:r>
        <w:rPr>
          <w:rFonts w:hint="default"/>
          <w:lang w:val="en"/>
        </w:rPr>
        <w:t xml:space="preserve">               </w:t>
      </w:r>
      <w:r>
        <w:drawing>
          <wp:inline distT="0" distB="0" distL="114300" distR="114300">
            <wp:extent cx="4000500" cy="2400300"/>
            <wp:effectExtent l="4445" t="5080" r="14605" b="13970"/>
            <wp:docPr id="8" name="图表 14"/>
            <wp:cNvGraphicFramePr>
              <a:graphicFrameLocks xmlns:a="http://schemas.openxmlformats.org/drawingml/2006/main" noChangeAspect="true"/>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pPr>
        <w:widowControl/>
        <w:numPr>
          <w:ilvl w:val="0"/>
          <w:numId w:val="2"/>
        </w:numPr>
        <w:spacing w:line="500" w:lineRule="exact"/>
        <w:ind w:firstLine="642" w:firstLineChars="200"/>
        <w:rPr>
          <w:rFonts w:hint="eastAsia" w:ascii="Times New Roman" w:hAnsi="Times New Roman" w:eastAsia="方正仿宋_GBK"/>
          <w:color w:val="auto"/>
          <w:kern w:val="0"/>
          <w:sz w:val="32"/>
          <w:szCs w:val="32"/>
          <w:highlight w:val="none"/>
          <w:lang w:val="en-US" w:eastAsia="zh-CN"/>
        </w:rPr>
      </w:pPr>
      <w:r>
        <w:rPr>
          <w:rFonts w:hint="eastAsia" w:ascii="Times New Roman" w:hAnsi="Times New Roman" w:eastAsia="方正仿宋_GBK"/>
          <w:b/>
          <w:bCs/>
          <w:color w:val="000000"/>
          <w:kern w:val="0"/>
          <w:sz w:val="32"/>
          <w:szCs w:val="32"/>
          <w:highlight w:val="none"/>
          <w:lang w:val="en-US" w:eastAsia="zh-CN"/>
        </w:rPr>
        <w:t>一般公共预算财政拨款收入8690.03万元。</w:t>
      </w:r>
      <w:r>
        <w:rPr>
          <w:rFonts w:hint="eastAsia" w:ascii="Times New Roman" w:hAnsi="Times New Roman" w:eastAsia="方正仿宋_GBK"/>
          <w:color w:val="000000"/>
          <w:kern w:val="0"/>
          <w:sz w:val="32"/>
          <w:szCs w:val="32"/>
          <w:highlight w:val="none"/>
          <w:lang w:val="en-US" w:eastAsia="zh-CN"/>
        </w:rPr>
        <w:t>系我单位所属预算单位当年从中央财政取得的一般公共预算资金。比202</w:t>
      </w:r>
      <w:r>
        <w:rPr>
          <w:rFonts w:hint="default" w:ascii="Times New Roman" w:hAnsi="Times New Roman" w:eastAsia="方正仿宋_GBK"/>
          <w:color w:val="000000"/>
          <w:kern w:val="0"/>
          <w:sz w:val="32"/>
          <w:szCs w:val="32"/>
          <w:highlight w:val="none"/>
          <w:lang w:val="en" w:eastAsia="zh-CN"/>
        </w:rPr>
        <w:t>4</w:t>
      </w:r>
      <w:r>
        <w:rPr>
          <w:rFonts w:hint="eastAsia" w:ascii="Times New Roman" w:hAnsi="Times New Roman" w:eastAsia="方正仿宋_GBK"/>
          <w:color w:val="000000"/>
          <w:kern w:val="0"/>
          <w:sz w:val="32"/>
          <w:szCs w:val="32"/>
          <w:highlight w:val="none"/>
          <w:lang w:val="en-US" w:eastAsia="zh-CN"/>
        </w:rPr>
        <w:t>年度决算数9321.66万元减少631.63万元，下降6.8%，</w:t>
      </w:r>
      <w:r>
        <w:rPr>
          <w:rFonts w:hint="eastAsia" w:ascii="Times New Roman" w:hAnsi="Times New Roman" w:eastAsia="方正仿宋_GBK"/>
          <w:color w:val="auto"/>
          <w:kern w:val="0"/>
          <w:sz w:val="32"/>
          <w:szCs w:val="32"/>
          <w:highlight w:val="none"/>
          <w:lang w:val="en-US" w:eastAsia="zh-CN"/>
        </w:rPr>
        <w:t>主要原因是</w:t>
      </w:r>
      <w:r>
        <w:rPr>
          <w:rFonts w:hint="eastAsia" w:ascii="方正仿宋_GBK" w:hAnsi="方正仿宋_GBK" w:eastAsia="方正仿宋_GBK" w:cs="方正仿宋_GBK"/>
          <w:snapToGrid/>
          <w:color w:val="auto"/>
          <w:kern w:val="0"/>
          <w:sz w:val="32"/>
          <w:szCs w:val="32"/>
          <w:lang w:val="zh-CN" w:eastAsia="zh-CN" w:bidi="zh-CN"/>
        </w:rPr>
        <w:t>队伍补缴以前年度养老、医疗保险工作已基本完成，相应减少支出</w:t>
      </w:r>
      <w:r>
        <w:rPr>
          <w:rFonts w:hint="eastAsia" w:ascii="Times New Roman" w:hAnsi="Times New Roman" w:eastAsia="方正仿宋_GBK"/>
          <w:color w:val="auto"/>
          <w:kern w:val="0"/>
          <w:sz w:val="32"/>
          <w:szCs w:val="32"/>
          <w:highlight w:val="none"/>
          <w:lang w:val="en-US" w:eastAsia="zh-CN"/>
        </w:rPr>
        <w:t>。</w:t>
      </w:r>
    </w:p>
    <w:p>
      <w:pPr>
        <w:widowControl/>
        <w:numPr>
          <w:ilvl w:val="0"/>
          <w:numId w:val="2"/>
        </w:numPr>
        <w:spacing w:line="500" w:lineRule="exact"/>
        <w:ind w:firstLine="642" w:firstLineChars="200"/>
        <w:rPr>
          <w:rFonts w:hint="eastAsia" w:ascii="Times New Roman" w:hAnsi="Times New Roman" w:eastAsia="方正仿宋_GBK"/>
          <w:color w:val="000000"/>
          <w:kern w:val="0"/>
          <w:sz w:val="32"/>
          <w:szCs w:val="32"/>
          <w:highlight w:val="none"/>
          <w:lang w:val="en-US" w:eastAsia="zh-CN"/>
        </w:rPr>
      </w:pPr>
      <w:r>
        <w:rPr>
          <w:rFonts w:ascii="Times New Roman" w:hAnsi="Times New Roman" w:eastAsia="方正仿宋_GBK"/>
          <w:b/>
          <w:bCs/>
          <w:color w:val="000000"/>
          <w:kern w:val="0"/>
          <w:sz w:val="32"/>
          <w:szCs w:val="32"/>
          <w:highlight w:val="none"/>
        </w:rPr>
        <w:t>其他收入</w:t>
      </w:r>
      <w:r>
        <w:rPr>
          <w:rFonts w:hint="eastAsia" w:ascii="Times New Roman" w:hAnsi="Times New Roman" w:eastAsia="方正仿宋_GBK"/>
          <w:b/>
          <w:bCs/>
          <w:color w:val="000000"/>
          <w:kern w:val="0"/>
          <w:sz w:val="32"/>
          <w:szCs w:val="32"/>
          <w:highlight w:val="none"/>
          <w:lang w:val="en-US" w:eastAsia="zh-CN"/>
        </w:rPr>
        <w:t>5000.61</w:t>
      </w:r>
      <w:r>
        <w:rPr>
          <w:rFonts w:ascii="Times New Roman" w:hAnsi="Times New Roman" w:eastAsia="方正仿宋_GBK"/>
          <w:b/>
          <w:bCs/>
          <w:color w:val="000000"/>
          <w:kern w:val="0"/>
          <w:sz w:val="32"/>
          <w:szCs w:val="32"/>
          <w:highlight w:val="none"/>
        </w:rPr>
        <w:t>万元</w:t>
      </w:r>
      <w:r>
        <w:rPr>
          <w:rFonts w:hint="eastAsia" w:ascii="Times New Roman" w:hAnsi="Times New Roman" w:eastAsia="方正仿宋_GBK"/>
          <w:b/>
          <w:bCs/>
          <w:color w:val="000000"/>
          <w:kern w:val="0"/>
          <w:sz w:val="32"/>
          <w:szCs w:val="32"/>
          <w:highlight w:val="none"/>
          <w:lang w:eastAsia="zh-CN"/>
        </w:rPr>
        <w:t>。</w:t>
      </w:r>
      <w:r>
        <w:rPr>
          <w:rFonts w:hint="eastAsia" w:ascii="Times New Roman" w:hAnsi="Times New Roman" w:eastAsia="方正仿宋_GBK"/>
          <w:color w:val="000000"/>
          <w:kern w:val="0"/>
          <w:sz w:val="32"/>
          <w:szCs w:val="32"/>
          <w:highlight w:val="none"/>
          <w:lang w:val="en-US" w:eastAsia="zh-CN"/>
        </w:rPr>
        <w:t>系我单位所属预算单位在财政拨款收入、事业收入、经营收入、附属单位上缴收入之外取得的收入。比202</w:t>
      </w:r>
      <w:r>
        <w:rPr>
          <w:rFonts w:hint="default" w:ascii="Times New Roman" w:hAnsi="Times New Roman" w:eastAsia="方正仿宋_GBK"/>
          <w:color w:val="000000"/>
          <w:kern w:val="0"/>
          <w:sz w:val="32"/>
          <w:szCs w:val="32"/>
          <w:highlight w:val="none"/>
          <w:lang w:val="en" w:eastAsia="zh-CN"/>
        </w:rPr>
        <w:t>4</w:t>
      </w:r>
      <w:r>
        <w:rPr>
          <w:rFonts w:hint="eastAsia" w:ascii="Times New Roman" w:hAnsi="Times New Roman" w:eastAsia="方正仿宋_GBK"/>
          <w:color w:val="000000"/>
          <w:kern w:val="0"/>
          <w:sz w:val="32"/>
          <w:szCs w:val="32"/>
          <w:highlight w:val="none"/>
          <w:lang w:val="en-US" w:eastAsia="zh-CN"/>
        </w:rPr>
        <w:t>年度决算数5438.02万元</w:t>
      </w:r>
      <w:r>
        <w:rPr>
          <w:rFonts w:hint="default" w:ascii="Times New Roman" w:hAnsi="Times New Roman" w:eastAsia="方正仿宋_GBK"/>
          <w:color w:val="000000"/>
          <w:kern w:val="0"/>
          <w:sz w:val="32"/>
          <w:szCs w:val="32"/>
          <w:highlight w:val="none"/>
          <w:lang w:val="en" w:eastAsia="zh-CN"/>
        </w:rPr>
        <w:t>减少</w:t>
      </w:r>
      <w:r>
        <w:rPr>
          <w:rFonts w:hint="eastAsia" w:ascii="Times New Roman" w:hAnsi="Times New Roman" w:eastAsia="方正仿宋_GBK"/>
          <w:color w:val="000000"/>
          <w:kern w:val="0"/>
          <w:sz w:val="32"/>
          <w:szCs w:val="32"/>
          <w:highlight w:val="none"/>
          <w:lang w:val="en-US" w:eastAsia="zh-CN"/>
        </w:rPr>
        <w:t>437.41万元，</w:t>
      </w:r>
      <w:r>
        <w:rPr>
          <w:rFonts w:hint="default" w:ascii="Times New Roman" w:hAnsi="Times New Roman" w:eastAsia="方正仿宋_GBK"/>
          <w:color w:val="000000"/>
          <w:kern w:val="0"/>
          <w:sz w:val="32"/>
          <w:szCs w:val="32"/>
          <w:highlight w:val="none"/>
          <w:lang w:val="en" w:eastAsia="zh-CN"/>
        </w:rPr>
        <w:t>下降</w:t>
      </w:r>
      <w:r>
        <w:rPr>
          <w:rFonts w:hint="eastAsia" w:ascii="Times New Roman" w:hAnsi="Times New Roman" w:eastAsia="方正仿宋_GBK"/>
          <w:color w:val="000000"/>
          <w:kern w:val="0"/>
          <w:sz w:val="32"/>
          <w:szCs w:val="32"/>
          <w:highlight w:val="none"/>
          <w:lang w:val="en-US" w:eastAsia="zh-CN"/>
        </w:rPr>
        <w:t>8%，</w:t>
      </w:r>
      <w:r>
        <w:rPr>
          <w:rFonts w:hint="eastAsia" w:ascii="Times New Roman" w:hAnsi="Times New Roman" w:eastAsia="方正仿宋_GBK"/>
          <w:color w:val="auto"/>
          <w:kern w:val="0"/>
          <w:sz w:val="32"/>
          <w:szCs w:val="32"/>
          <w:highlight w:val="none"/>
          <w:lang w:val="en-US" w:eastAsia="zh-CN"/>
        </w:rPr>
        <w:t>主要原因：一是本年度装备购置项目和基础设施建设项目有所减少，导致本年度收入减少。二是</w:t>
      </w:r>
      <w:r>
        <w:rPr>
          <w:rFonts w:hint="eastAsia" w:ascii="Times New Roman" w:hAnsi="Times New Roman" w:eastAsia="方正仿宋_GBK"/>
          <w:color w:val="auto"/>
          <w:kern w:val="0"/>
          <w:sz w:val="32"/>
          <w:szCs w:val="32"/>
          <w:highlight w:val="none"/>
          <w:lang w:eastAsia="zh-CN"/>
        </w:rPr>
        <w:t>国债项目实施完成阶段性任务，其他收入减少</w:t>
      </w:r>
      <w:r>
        <w:rPr>
          <w:rFonts w:hint="eastAsia" w:ascii="Times New Roman" w:hAnsi="Times New Roman" w:eastAsia="方正仿宋_GBK"/>
          <w:color w:val="auto"/>
          <w:kern w:val="0"/>
          <w:sz w:val="32"/>
          <w:szCs w:val="32"/>
          <w:highlight w:val="none"/>
          <w:lang w:val="en-US" w:eastAsia="zh-CN"/>
        </w:rPr>
        <w:t xml:space="preserve"> 。</w:t>
      </w:r>
    </w:p>
    <w:p>
      <w:pPr>
        <w:widowControl w:val="0"/>
        <w:numPr>
          <w:ilvl w:val="0"/>
          <w:numId w:val="0"/>
        </w:numPr>
        <w:kinsoku/>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三、支出决算情况说明</w:t>
      </w:r>
    </w:p>
    <w:p>
      <w:pPr>
        <w:keepNext w:val="0"/>
        <w:keepLines w:val="0"/>
        <w:pageBreakBefore w:val="0"/>
        <w:widowControl w:val="0"/>
        <w:kinsoku/>
        <w:wordWrap/>
        <w:overflowPunct/>
        <w:topLinePunct w:val="0"/>
        <w:autoSpaceDE w:val="0"/>
        <w:autoSpaceDN w:val="0"/>
        <w:bidi w:val="0"/>
        <w:adjustRightInd/>
        <w:snapToGrid/>
        <w:spacing w:beforeAutospacing="0" w:line="240" w:lineRule="auto"/>
        <w:ind w:right="0" w:rightChars="0" w:firstLine="640" w:firstLineChars="200"/>
        <w:jc w:val="both"/>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en-US" w:eastAsia="zh-CN" w:bidi="zh-CN"/>
        </w:rPr>
        <w:t>2025年</w:t>
      </w:r>
      <w:r>
        <w:rPr>
          <w:rFonts w:hint="eastAsia" w:ascii="方正仿宋_GBK" w:hAnsi="方正仿宋_GBK" w:eastAsia="方正仿宋_GBK" w:cs="方正仿宋_GBK"/>
          <w:snapToGrid/>
          <w:kern w:val="0"/>
          <w:sz w:val="32"/>
          <w:szCs w:val="32"/>
          <w:lang w:val="zh-CN" w:eastAsia="zh-CN" w:bidi="zh-CN"/>
        </w:rPr>
        <w:t>度支出合计</w:t>
      </w:r>
      <w:r>
        <w:rPr>
          <w:rFonts w:hint="eastAsia" w:ascii="方正仿宋_GBK" w:hAnsi="方正仿宋_GBK" w:eastAsia="方正仿宋_GBK" w:cs="方正仿宋_GBK"/>
          <w:snapToGrid/>
          <w:kern w:val="0"/>
          <w:sz w:val="32"/>
          <w:szCs w:val="32"/>
          <w:lang w:val="en-US" w:eastAsia="zh-CN" w:bidi="zh-CN"/>
        </w:rPr>
        <w:t>13235.86万</w:t>
      </w:r>
      <w:r>
        <w:rPr>
          <w:rFonts w:hint="eastAsia" w:ascii="方正仿宋_GBK" w:hAnsi="方正仿宋_GBK" w:eastAsia="方正仿宋_GBK" w:cs="方正仿宋_GBK"/>
          <w:snapToGrid/>
          <w:kern w:val="0"/>
          <w:sz w:val="32"/>
          <w:szCs w:val="32"/>
          <w:lang w:val="zh-CN" w:eastAsia="zh-CN" w:bidi="zh-CN"/>
        </w:rPr>
        <w:t>元，其中</w:t>
      </w:r>
      <w:r>
        <w:rPr>
          <w:rFonts w:hint="eastAsia" w:ascii="方正仿宋_GBK" w:hAnsi="方正仿宋_GBK" w:eastAsia="方正仿宋_GBK" w:cs="方正仿宋_GBK"/>
          <w:snapToGrid/>
          <w:kern w:val="0"/>
          <w:sz w:val="32"/>
          <w:szCs w:val="32"/>
          <w:lang w:val="en-US" w:eastAsia="zh-CN" w:bidi="zh-CN"/>
        </w:rPr>
        <w:t>:</w:t>
      </w:r>
      <w:r>
        <w:rPr>
          <w:rFonts w:hint="eastAsia" w:ascii="方正仿宋_GBK" w:hAnsi="方正仿宋_GBK" w:eastAsia="方正仿宋_GBK" w:cs="方正仿宋_GBK"/>
          <w:snapToGrid/>
          <w:kern w:val="0"/>
          <w:sz w:val="32"/>
          <w:szCs w:val="32"/>
          <w:lang w:val="zh-CN" w:eastAsia="zh-CN" w:bidi="zh-CN"/>
        </w:rPr>
        <w:t>基本支出</w:t>
      </w:r>
      <w:r>
        <w:rPr>
          <w:rFonts w:hint="eastAsia" w:ascii="方正仿宋_GBK" w:hAnsi="方正仿宋_GBK" w:eastAsia="方正仿宋_GBK" w:cs="方正仿宋_GBK"/>
          <w:snapToGrid/>
          <w:kern w:val="0"/>
          <w:sz w:val="32"/>
          <w:szCs w:val="32"/>
          <w:lang w:val="en-US" w:eastAsia="zh-CN" w:bidi="zh-CN"/>
        </w:rPr>
        <w:t>10076.33</w:t>
      </w:r>
      <w:r>
        <w:rPr>
          <w:rFonts w:hint="eastAsia" w:ascii="方正仿宋_GBK" w:hAnsi="方正仿宋_GBK" w:eastAsia="方正仿宋_GBK" w:cs="方正仿宋_GBK"/>
          <w:snapToGrid/>
          <w:kern w:val="0"/>
          <w:sz w:val="32"/>
          <w:szCs w:val="32"/>
          <w:lang w:val="zh-CN" w:eastAsia="zh-CN" w:bidi="zh-CN"/>
        </w:rPr>
        <w:t>万元，占</w:t>
      </w:r>
      <w:r>
        <w:rPr>
          <w:rFonts w:hint="eastAsia" w:ascii="方正仿宋_GBK" w:hAnsi="方正仿宋_GBK" w:eastAsia="方正仿宋_GBK" w:cs="方正仿宋_GBK"/>
          <w:snapToGrid/>
          <w:kern w:val="0"/>
          <w:sz w:val="32"/>
          <w:szCs w:val="32"/>
          <w:lang w:val="en-US" w:eastAsia="zh-CN" w:bidi="zh-CN"/>
        </w:rPr>
        <w:t>76.1</w:t>
      </w:r>
      <w:r>
        <w:rPr>
          <w:rFonts w:hint="eastAsia" w:ascii="方正仿宋_GBK" w:hAnsi="方正仿宋_GBK" w:eastAsia="方正仿宋_GBK" w:cs="方正仿宋_GBK"/>
          <w:snapToGrid/>
          <w:kern w:val="0"/>
          <w:sz w:val="32"/>
          <w:szCs w:val="32"/>
          <w:lang w:val="zh-CN" w:eastAsia="zh-CN" w:bidi="zh-CN"/>
        </w:rPr>
        <w:t>%；项目支出</w:t>
      </w:r>
      <w:r>
        <w:rPr>
          <w:rFonts w:hint="eastAsia" w:ascii="方正仿宋_GBK" w:hAnsi="方正仿宋_GBK" w:eastAsia="方正仿宋_GBK" w:cs="方正仿宋_GBK"/>
          <w:snapToGrid/>
          <w:kern w:val="0"/>
          <w:sz w:val="32"/>
          <w:szCs w:val="32"/>
          <w:lang w:val="en-US" w:eastAsia="zh-CN" w:bidi="zh-CN"/>
        </w:rPr>
        <w:t>3159.52</w:t>
      </w:r>
      <w:r>
        <w:rPr>
          <w:rFonts w:hint="eastAsia" w:ascii="方正仿宋_GBK" w:hAnsi="方正仿宋_GBK" w:eastAsia="方正仿宋_GBK" w:cs="方正仿宋_GBK"/>
          <w:snapToGrid/>
          <w:kern w:val="0"/>
          <w:sz w:val="32"/>
          <w:szCs w:val="32"/>
          <w:lang w:val="zh-CN" w:eastAsia="zh-CN" w:bidi="zh-CN"/>
        </w:rPr>
        <w:t>万元，占</w:t>
      </w:r>
      <w:r>
        <w:rPr>
          <w:rFonts w:hint="eastAsia" w:ascii="方正仿宋_GBK" w:hAnsi="方正仿宋_GBK" w:eastAsia="方正仿宋_GBK" w:cs="方正仿宋_GBK"/>
          <w:snapToGrid/>
          <w:kern w:val="0"/>
          <w:sz w:val="32"/>
          <w:szCs w:val="32"/>
          <w:lang w:val="en-US" w:eastAsia="zh-CN" w:bidi="zh-CN"/>
        </w:rPr>
        <w:t>23.9</w:t>
      </w:r>
      <w:r>
        <w:rPr>
          <w:rFonts w:hint="eastAsia" w:ascii="方正仿宋_GBK" w:hAnsi="方正仿宋_GBK" w:eastAsia="方正仿宋_GBK" w:cs="方正仿宋_GBK"/>
          <w:snapToGrid/>
          <w:kern w:val="0"/>
          <w:sz w:val="32"/>
          <w:szCs w:val="32"/>
          <w:lang w:val="zh-CN" w:eastAsia="zh-CN" w:bidi="zh-CN"/>
        </w:rPr>
        <w:t>%。</w:t>
      </w:r>
    </w:p>
    <w:p>
      <w:pPr>
        <w:spacing w:before="171" w:line="4422" w:lineRule="exact"/>
        <w:ind w:firstLine="200"/>
        <w:textAlignment w:val="center"/>
      </w:pPr>
      <w:r>
        <w:rPr>
          <w:rFonts w:hint="default"/>
          <w:lang w:val="en"/>
        </w:rPr>
        <w:t xml:space="preserve">      </w:t>
      </w:r>
      <w:r>
        <w:drawing>
          <wp:inline distT="0" distB="0" distL="114300" distR="114300">
            <wp:extent cx="4152900" cy="2400300"/>
            <wp:effectExtent l="4445" t="4445" r="14605" b="14605"/>
            <wp:docPr id="9" name="图表 15"/>
            <wp:cNvGraphicFramePr>
              <a:graphicFrameLocks xmlns:a="http://schemas.openxmlformats.org/drawingml/2006/main" noChangeAspect="true"/>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pPr>
        <w:pStyle w:val="2"/>
        <w:numPr>
          <w:ilvl w:val="0"/>
          <w:numId w:val="0"/>
        </w:numPr>
        <w:spacing w:line="540" w:lineRule="exact"/>
        <w:ind w:firstLine="642" w:firstLineChars="200"/>
        <w:rPr>
          <w:rFonts w:hint="eastAsia" w:ascii="Times New Roman" w:hAnsi="Times New Roman" w:eastAsia="方正仿宋_GBK"/>
          <w:b w:val="0"/>
          <w:bCs w:val="0"/>
          <w:color w:val="000000"/>
          <w:kern w:val="0"/>
          <w:sz w:val="32"/>
          <w:szCs w:val="32"/>
          <w:highlight w:val="none"/>
          <w:lang w:val="en-US" w:eastAsia="zh-CN"/>
        </w:rPr>
      </w:pPr>
      <w:r>
        <w:rPr>
          <w:rFonts w:hint="eastAsia" w:ascii="Times New Roman" w:hAnsi="Times New Roman" w:eastAsia="方正仿宋_GBK"/>
          <w:b/>
          <w:bCs/>
          <w:color w:val="000000"/>
          <w:kern w:val="0"/>
          <w:sz w:val="32"/>
          <w:szCs w:val="32"/>
          <w:highlight w:val="none"/>
          <w:lang w:eastAsia="zh-CN"/>
        </w:rPr>
        <w:t>（</w:t>
      </w:r>
      <w:r>
        <w:rPr>
          <w:rFonts w:hint="eastAsia" w:ascii="Times New Roman" w:hAnsi="Times New Roman" w:eastAsia="方正仿宋_GBK"/>
          <w:b/>
          <w:bCs/>
          <w:color w:val="000000"/>
          <w:kern w:val="0"/>
          <w:sz w:val="32"/>
          <w:szCs w:val="32"/>
          <w:highlight w:val="none"/>
          <w:lang w:val="en-US" w:eastAsia="zh-CN"/>
        </w:rPr>
        <w:t>1</w:t>
      </w:r>
      <w:r>
        <w:rPr>
          <w:rFonts w:hint="eastAsia" w:ascii="Times New Roman" w:hAnsi="Times New Roman" w:eastAsia="方正仿宋_GBK"/>
          <w:b/>
          <w:bCs/>
          <w:color w:val="000000"/>
          <w:kern w:val="0"/>
          <w:sz w:val="32"/>
          <w:szCs w:val="32"/>
          <w:highlight w:val="none"/>
          <w:lang w:eastAsia="zh-CN"/>
        </w:rPr>
        <w:t>）</w:t>
      </w:r>
      <w:r>
        <w:rPr>
          <w:rFonts w:ascii="Times New Roman" w:hAnsi="Times New Roman" w:eastAsia="方正仿宋_GBK"/>
          <w:b/>
          <w:bCs/>
          <w:color w:val="000000"/>
          <w:kern w:val="0"/>
          <w:sz w:val="32"/>
          <w:szCs w:val="32"/>
          <w:highlight w:val="none"/>
        </w:rPr>
        <w:t>基本支出</w:t>
      </w:r>
      <w:r>
        <w:rPr>
          <w:rFonts w:hint="eastAsia" w:ascii="Times New Roman" w:hAnsi="Times New Roman" w:eastAsia="方正仿宋_GBK"/>
          <w:b/>
          <w:bCs/>
          <w:color w:val="000000"/>
          <w:kern w:val="0"/>
          <w:sz w:val="32"/>
          <w:szCs w:val="32"/>
          <w:highlight w:val="none"/>
          <w:lang w:val="en-US" w:eastAsia="zh-CN"/>
        </w:rPr>
        <w:t>10076.33</w:t>
      </w:r>
      <w:r>
        <w:rPr>
          <w:rFonts w:ascii="Times New Roman" w:hAnsi="Times New Roman" w:eastAsia="方正仿宋_GBK"/>
          <w:b/>
          <w:bCs/>
          <w:color w:val="000000"/>
          <w:kern w:val="0"/>
          <w:sz w:val="32"/>
          <w:szCs w:val="32"/>
          <w:highlight w:val="none"/>
        </w:rPr>
        <w:t>万元</w:t>
      </w:r>
      <w:r>
        <w:rPr>
          <w:rFonts w:hint="eastAsia" w:ascii="Times New Roman" w:hAnsi="Times New Roman" w:eastAsia="方正仿宋_GBK"/>
          <w:b/>
          <w:bCs/>
          <w:color w:val="000000"/>
          <w:kern w:val="0"/>
          <w:sz w:val="32"/>
          <w:szCs w:val="32"/>
          <w:highlight w:val="none"/>
          <w:lang w:val="en-US" w:eastAsia="zh-CN"/>
        </w:rPr>
        <w:t>。</w:t>
      </w:r>
      <w:r>
        <w:rPr>
          <w:rFonts w:hint="eastAsia" w:ascii="Times New Roman" w:hAnsi="Times New Roman" w:eastAsia="方正仿宋_GBK"/>
          <w:b w:val="0"/>
          <w:bCs w:val="0"/>
          <w:color w:val="000000"/>
          <w:kern w:val="0"/>
          <w:sz w:val="32"/>
          <w:szCs w:val="32"/>
          <w:highlight w:val="none"/>
          <w:lang w:val="en-US" w:eastAsia="zh-CN"/>
        </w:rPr>
        <w:t>主要为我单位及所属单位基本养老保险、职业年金、医疗保险、医疗费、住房公积金等人员经费以及保障日常行政运行的公用经费。</w:t>
      </w:r>
    </w:p>
    <w:p>
      <w:pPr>
        <w:pStyle w:val="2"/>
        <w:numPr>
          <w:ilvl w:val="0"/>
          <w:numId w:val="0"/>
        </w:numPr>
        <w:spacing w:line="540" w:lineRule="exact"/>
        <w:ind w:firstLine="642" w:firstLineChars="200"/>
        <w:rPr>
          <w:rFonts w:hint="eastAsia" w:ascii="方正黑体_GBK" w:hAnsi="方正黑体_GBK" w:eastAsia="方正黑体_GBK" w:cs="方正黑体_GBK"/>
          <w:snapToGrid/>
          <w:color w:val="auto"/>
          <w:spacing w:val="-6"/>
          <w:kern w:val="0"/>
          <w:sz w:val="32"/>
          <w:szCs w:val="32"/>
          <w:lang w:val="zh-CN" w:eastAsia="zh-CN" w:bidi="zh-CN"/>
        </w:rPr>
      </w:pPr>
      <w:r>
        <w:rPr>
          <w:rFonts w:hint="eastAsia" w:ascii="Times New Roman" w:hAnsi="Times New Roman" w:eastAsia="方正仿宋_GBK"/>
          <w:b/>
          <w:bCs/>
          <w:color w:val="000000"/>
          <w:kern w:val="0"/>
          <w:sz w:val="32"/>
          <w:szCs w:val="32"/>
          <w:highlight w:val="none"/>
          <w:lang w:eastAsia="zh-CN"/>
        </w:rPr>
        <w:t>（</w:t>
      </w:r>
      <w:r>
        <w:rPr>
          <w:rFonts w:hint="eastAsia" w:ascii="Times New Roman" w:hAnsi="Times New Roman" w:eastAsia="方正仿宋_GBK"/>
          <w:b/>
          <w:bCs/>
          <w:color w:val="000000"/>
          <w:kern w:val="0"/>
          <w:sz w:val="32"/>
          <w:szCs w:val="32"/>
          <w:highlight w:val="none"/>
          <w:lang w:val="en-US" w:eastAsia="zh-CN"/>
        </w:rPr>
        <w:t>2</w:t>
      </w:r>
      <w:r>
        <w:rPr>
          <w:rFonts w:hint="eastAsia" w:ascii="Times New Roman" w:hAnsi="Times New Roman" w:eastAsia="方正仿宋_GBK"/>
          <w:b/>
          <w:bCs/>
          <w:color w:val="000000"/>
          <w:kern w:val="0"/>
          <w:sz w:val="32"/>
          <w:szCs w:val="32"/>
          <w:highlight w:val="none"/>
          <w:lang w:eastAsia="zh-CN"/>
        </w:rPr>
        <w:t>）</w:t>
      </w:r>
      <w:r>
        <w:rPr>
          <w:rFonts w:ascii="Times New Roman" w:hAnsi="Times New Roman" w:eastAsia="方正仿宋_GBK"/>
          <w:b/>
          <w:bCs/>
          <w:color w:val="000000"/>
          <w:kern w:val="0"/>
          <w:sz w:val="32"/>
          <w:szCs w:val="32"/>
          <w:highlight w:val="none"/>
        </w:rPr>
        <w:t>项目支出</w:t>
      </w:r>
      <w:r>
        <w:rPr>
          <w:rFonts w:hint="eastAsia" w:ascii="Times New Roman" w:hAnsi="Times New Roman" w:eastAsia="方正仿宋_GBK"/>
          <w:b/>
          <w:bCs/>
          <w:color w:val="000000"/>
          <w:kern w:val="0"/>
          <w:sz w:val="32"/>
          <w:szCs w:val="32"/>
          <w:highlight w:val="none"/>
          <w:lang w:val="en-US" w:eastAsia="zh-CN"/>
        </w:rPr>
        <w:t>3159.52</w:t>
      </w:r>
      <w:r>
        <w:rPr>
          <w:rFonts w:ascii="Times New Roman" w:hAnsi="Times New Roman" w:eastAsia="方正仿宋_GBK"/>
          <w:b/>
          <w:bCs/>
          <w:color w:val="000000"/>
          <w:kern w:val="0"/>
          <w:sz w:val="32"/>
          <w:szCs w:val="32"/>
          <w:highlight w:val="none"/>
        </w:rPr>
        <w:t>万元</w:t>
      </w:r>
      <w:r>
        <w:rPr>
          <w:rFonts w:hint="eastAsia" w:ascii="Times New Roman" w:hAnsi="Times New Roman" w:eastAsia="方正仿宋_GBK"/>
          <w:b/>
          <w:bCs/>
          <w:color w:val="000000"/>
          <w:kern w:val="0"/>
          <w:sz w:val="32"/>
          <w:szCs w:val="32"/>
          <w:highlight w:val="none"/>
          <w:lang w:eastAsia="zh-CN"/>
        </w:rPr>
        <w:t>。</w:t>
      </w:r>
      <w:r>
        <w:rPr>
          <w:rFonts w:hint="eastAsia" w:ascii="Times New Roman" w:hAnsi="Times New Roman" w:eastAsia="方正仿宋_GBK"/>
          <w:b w:val="0"/>
          <w:bCs w:val="0"/>
          <w:color w:val="auto"/>
          <w:kern w:val="0"/>
          <w:sz w:val="32"/>
          <w:szCs w:val="32"/>
          <w:highlight w:val="none"/>
          <w:lang w:val="en-US" w:eastAsia="zh-CN"/>
        </w:rPr>
        <w:t>主要为我单位及所属单位年初申报消防应急救援项目经费。</w:t>
      </w:r>
    </w:p>
    <w:p>
      <w:pPr>
        <w:widowControl w:val="0"/>
        <w:numPr>
          <w:ilvl w:val="0"/>
          <w:numId w:val="0"/>
        </w:numPr>
        <w:kinsoku/>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spacing w:val="-6"/>
          <w:kern w:val="0"/>
          <w:sz w:val="32"/>
          <w:szCs w:val="32"/>
          <w:highlight w:val="none"/>
          <w:lang w:val="zh-CN" w:eastAsia="zh-CN" w:bidi="zh-CN"/>
        </w:rPr>
      </w:pPr>
      <w:r>
        <w:rPr>
          <w:rFonts w:hint="eastAsia" w:ascii="方正黑体_GBK" w:hAnsi="方正黑体_GBK" w:eastAsia="方正黑体_GBK" w:cs="方正黑体_GBK"/>
          <w:snapToGrid/>
          <w:spacing w:val="-6"/>
          <w:kern w:val="0"/>
          <w:sz w:val="32"/>
          <w:szCs w:val="32"/>
          <w:highlight w:val="none"/>
          <w:lang w:val="zh-CN" w:eastAsia="zh-CN" w:bidi="zh-CN"/>
        </w:rPr>
        <w:t>四、财政拨款收入支出决算总体情况说明</w:t>
      </w:r>
    </w:p>
    <w:p>
      <w:pPr>
        <w:keepNext w:val="0"/>
        <w:keepLines w:val="0"/>
        <w:pageBreakBefore w:val="0"/>
        <w:widowControl w:val="0"/>
        <w:kinsoku/>
        <w:wordWrap/>
        <w:overflowPunct/>
        <w:topLinePunct w:val="0"/>
        <w:autoSpaceDE w:val="0"/>
        <w:autoSpaceDN w:val="0"/>
        <w:bidi w:val="0"/>
        <w:adjustRightInd/>
        <w:snapToGrid/>
        <w:spacing w:before="100" w:beforeAutospacing="1" w:line="317" w:lineRule="auto"/>
        <w:ind w:right="27" w:rightChars="13" w:firstLine="640" w:firstLineChars="200"/>
        <w:jc w:val="left"/>
        <w:textAlignment w:val="auto"/>
        <w:rPr>
          <w:rFonts w:ascii="Arial"/>
          <w:sz w:val="16"/>
        </w:rPr>
      </w:pPr>
      <w:r>
        <w:rPr>
          <w:rFonts w:hint="eastAsia" w:ascii="方正仿宋_GBK" w:hAnsi="方正仿宋_GBK" w:eastAsia="方正仿宋_GBK" w:cs="方正仿宋_GBK"/>
          <w:snapToGrid/>
          <w:kern w:val="0"/>
          <w:sz w:val="32"/>
          <w:szCs w:val="32"/>
          <w:lang w:val="zh-CN" w:eastAsia="zh-CN" w:bidi="zh-CN"/>
        </w:rPr>
        <w:t>202</w:t>
      </w:r>
      <w:r>
        <w:rPr>
          <w:rFonts w:hint="eastAsia" w:ascii="方正仿宋_GBK" w:hAnsi="方正仿宋_GBK" w:eastAsia="方正仿宋_GBK" w:cs="方正仿宋_GBK"/>
          <w:snapToGrid/>
          <w:kern w:val="0"/>
          <w:sz w:val="32"/>
          <w:szCs w:val="32"/>
          <w:lang w:val="en-US" w:eastAsia="zh-CN" w:bidi="zh-CN"/>
        </w:rPr>
        <w:t>5</w:t>
      </w:r>
      <w:r>
        <w:rPr>
          <w:rFonts w:hint="eastAsia" w:ascii="方正仿宋_GBK" w:hAnsi="方正仿宋_GBK" w:eastAsia="方正仿宋_GBK" w:cs="方正仿宋_GBK"/>
          <w:snapToGrid/>
          <w:kern w:val="0"/>
          <w:sz w:val="32"/>
          <w:szCs w:val="32"/>
          <w:lang w:val="zh-CN" w:eastAsia="zh-CN" w:bidi="zh-CN"/>
        </w:rPr>
        <w:t>年度财政拨款收、支总计</w:t>
      </w:r>
      <w:r>
        <w:rPr>
          <w:rFonts w:hint="eastAsia" w:ascii="方正仿宋_GBK" w:hAnsi="方正仿宋_GBK" w:eastAsia="方正仿宋_GBK" w:cs="方正仿宋_GBK"/>
          <w:snapToGrid/>
          <w:kern w:val="0"/>
          <w:sz w:val="32"/>
          <w:szCs w:val="32"/>
          <w:lang w:val="en-US" w:eastAsia="zh-CN" w:bidi="zh-CN"/>
        </w:rPr>
        <w:t>12271.74</w:t>
      </w:r>
      <w:r>
        <w:rPr>
          <w:rFonts w:hint="eastAsia" w:ascii="方正仿宋_GBK" w:hAnsi="方正仿宋_GBK" w:eastAsia="方正仿宋_GBK" w:cs="方正仿宋_GBK"/>
          <w:snapToGrid/>
          <w:kern w:val="0"/>
          <w:sz w:val="32"/>
          <w:szCs w:val="32"/>
          <w:lang w:val="zh-CN" w:eastAsia="zh-CN" w:bidi="zh-CN"/>
        </w:rPr>
        <w:t>万元。与202</w:t>
      </w:r>
      <w:r>
        <w:rPr>
          <w:rFonts w:hint="eastAsia" w:ascii="方正仿宋_GBK" w:hAnsi="方正仿宋_GBK" w:eastAsia="方正仿宋_GBK" w:cs="方正仿宋_GBK"/>
          <w:snapToGrid/>
          <w:kern w:val="0"/>
          <w:sz w:val="32"/>
          <w:szCs w:val="32"/>
          <w:lang w:val="en-US" w:eastAsia="zh-CN" w:bidi="zh-CN"/>
        </w:rPr>
        <w:t>4</w:t>
      </w:r>
      <w:r>
        <w:rPr>
          <w:rFonts w:hint="eastAsia" w:ascii="方正仿宋_GBK" w:hAnsi="方正仿宋_GBK" w:eastAsia="方正仿宋_GBK" w:cs="方正仿宋_GBK"/>
          <w:snapToGrid/>
          <w:kern w:val="0"/>
          <w:sz w:val="32"/>
          <w:szCs w:val="32"/>
          <w:lang w:val="zh-CN" w:eastAsia="zh-CN" w:bidi="zh-CN"/>
        </w:rPr>
        <w:t>年度相比，财政拨款收、支总计减少</w:t>
      </w:r>
      <w:r>
        <w:rPr>
          <w:rFonts w:hint="eastAsia" w:ascii="方正仿宋_GBK" w:hAnsi="方正仿宋_GBK" w:eastAsia="方正仿宋_GBK" w:cs="方正仿宋_GBK"/>
          <w:snapToGrid/>
          <w:kern w:val="0"/>
          <w:sz w:val="32"/>
          <w:szCs w:val="32"/>
          <w:lang w:val="en-US" w:eastAsia="zh-CN" w:bidi="zh-CN"/>
        </w:rPr>
        <w:t>9621.28</w:t>
      </w:r>
      <w:r>
        <w:rPr>
          <w:rFonts w:hint="eastAsia" w:ascii="方正仿宋_GBK" w:hAnsi="方正仿宋_GBK" w:eastAsia="方正仿宋_GBK" w:cs="方正仿宋_GBK"/>
          <w:snapToGrid/>
          <w:kern w:val="0"/>
          <w:sz w:val="32"/>
          <w:szCs w:val="32"/>
          <w:lang w:val="zh-CN" w:eastAsia="zh-CN" w:bidi="zh-CN"/>
        </w:rPr>
        <w:t>万元，下降</w:t>
      </w:r>
      <w:r>
        <w:rPr>
          <w:rFonts w:hint="eastAsia" w:ascii="方正仿宋_GBK" w:hAnsi="方正仿宋_GBK" w:eastAsia="方正仿宋_GBK" w:cs="方正仿宋_GBK"/>
          <w:snapToGrid/>
          <w:kern w:val="0"/>
          <w:sz w:val="32"/>
          <w:szCs w:val="32"/>
          <w:lang w:val="en-US" w:eastAsia="zh-CN" w:bidi="zh-CN"/>
        </w:rPr>
        <w:t>43.9</w:t>
      </w:r>
      <w:r>
        <w:rPr>
          <w:rFonts w:hint="eastAsia" w:ascii="方正仿宋_GBK" w:hAnsi="方正仿宋_GBK" w:eastAsia="方正仿宋_GBK" w:cs="方正仿宋_GBK"/>
          <w:snapToGrid/>
          <w:kern w:val="0"/>
          <w:sz w:val="32"/>
          <w:szCs w:val="32"/>
          <w:lang w:val="zh-CN" w:eastAsia="zh-CN" w:bidi="zh-CN"/>
        </w:rPr>
        <w:t>%，主要原因为</w:t>
      </w:r>
      <w:r>
        <w:rPr>
          <w:spacing w:val="24"/>
          <w:w w:val="99"/>
        </w:rPr>
        <w:t xml:space="preserve"> </w:t>
      </w:r>
      <w:r>
        <w:rPr>
          <w:rFonts w:hint="eastAsia" w:ascii="方正仿宋_GBK" w:hAnsi="方正仿宋_GBK" w:eastAsia="方正仿宋_GBK" w:cs="方正仿宋_GBK"/>
          <w:snapToGrid/>
          <w:kern w:val="0"/>
          <w:sz w:val="32"/>
          <w:szCs w:val="32"/>
          <w:lang w:val="zh-CN" w:eastAsia="zh-CN" w:bidi="zh-CN"/>
        </w:rPr>
        <w:t>202</w:t>
      </w:r>
      <w:r>
        <w:rPr>
          <w:rFonts w:hint="eastAsia" w:ascii="方正仿宋_GBK" w:hAnsi="方正仿宋_GBK" w:eastAsia="方正仿宋_GBK" w:cs="方正仿宋_GBK"/>
          <w:snapToGrid/>
          <w:kern w:val="0"/>
          <w:sz w:val="32"/>
          <w:szCs w:val="32"/>
          <w:lang w:val="en-US" w:eastAsia="zh-CN" w:bidi="zh-CN"/>
        </w:rPr>
        <w:t>4</w:t>
      </w:r>
      <w:r>
        <w:rPr>
          <w:rFonts w:hint="eastAsia" w:ascii="方正仿宋_GBK" w:hAnsi="方正仿宋_GBK" w:eastAsia="方正仿宋_GBK" w:cs="方正仿宋_GBK"/>
          <w:snapToGrid/>
          <w:kern w:val="0"/>
          <w:sz w:val="32"/>
          <w:szCs w:val="32"/>
          <w:lang w:val="zh-CN" w:eastAsia="zh-CN" w:bidi="zh-CN"/>
        </w:rPr>
        <w:t>年已完成以前年度</w:t>
      </w:r>
      <w:r>
        <w:rPr>
          <w:rFonts w:ascii="Times New Roman" w:hAnsi="Times New Roman" w:eastAsia="方正仿宋_GBK"/>
          <w:color w:val="000000"/>
          <w:kern w:val="0"/>
          <w:sz w:val="32"/>
          <w:szCs w:val="32"/>
          <w:highlight w:val="none"/>
        </w:rPr>
        <w:t>养老</w:t>
      </w:r>
      <w:r>
        <w:rPr>
          <w:rFonts w:hint="eastAsia" w:ascii="Times New Roman" w:hAnsi="Times New Roman" w:eastAsia="方正仿宋_GBK"/>
          <w:color w:val="000000"/>
          <w:kern w:val="0"/>
          <w:sz w:val="32"/>
          <w:szCs w:val="32"/>
          <w:highlight w:val="none"/>
          <w:lang w:eastAsia="zh-CN"/>
        </w:rPr>
        <w:t>、</w:t>
      </w:r>
      <w:r>
        <w:rPr>
          <w:rFonts w:ascii="Times New Roman" w:hAnsi="Times New Roman" w:eastAsia="方正仿宋_GBK"/>
          <w:color w:val="000000"/>
          <w:kern w:val="0"/>
          <w:sz w:val="32"/>
          <w:szCs w:val="32"/>
          <w:highlight w:val="none"/>
        </w:rPr>
        <w:t>医疗保险</w:t>
      </w:r>
      <w:r>
        <w:rPr>
          <w:rFonts w:hint="eastAsia" w:ascii="Times New Roman" w:hAnsi="Times New Roman" w:eastAsia="方正仿宋_GBK"/>
          <w:color w:val="000000"/>
          <w:kern w:val="0"/>
          <w:sz w:val="32"/>
          <w:szCs w:val="32"/>
          <w:highlight w:val="none"/>
          <w:lang w:eastAsia="zh-CN"/>
        </w:rPr>
        <w:t>的补缴工作，相应减少支出</w:t>
      </w:r>
      <w:r>
        <w:rPr>
          <w:rFonts w:hint="eastAsia" w:ascii="方正仿宋_GBK" w:hAnsi="方正仿宋_GBK" w:eastAsia="方正仿宋_GBK" w:cs="方正仿宋_GBK"/>
          <w:snapToGrid/>
          <w:kern w:val="0"/>
          <w:sz w:val="32"/>
          <w:szCs w:val="32"/>
          <w:lang w:val="zh-CN" w:eastAsia="zh-CN" w:bidi="zh-CN"/>
        </w:rPr>
        <w:t>。</w:t>
      </w:r>
    </w:p>
    <w:p>
      <w:pPr>
        <w:keepNext w:val="0"/>
        <w:keepLines w:val="0"/>
        <w:pageBreakBefore w:val="0"/>
        <w:widowControl/>
        <w:kinsoku w:val="0"/>
        <w:wordWrap/>
        <w:overflowPunct/>
        <w:topLinePunct w:val="0"/>
        <w:autoSpaceDE w:val="0"/>
        <w:autoSpaceDN w:val="0"/>
        <w:bidi w:val="0"/>
        <w:adjustRightInd w:val="0"/>
        <w:snapToGrid w:val="0"/>
        <w:spacing w:line="720" w:lineRule="auto"/>
        <w:textAlignment w:val="baseline"/>
        <w:rPr>
          <w:rFonts w:hint="default"/>
          <w:lang w:val="en"/>
        </w:rPr>
      </w:pPr>
      <w:r>
        <w:rPr>
          <w:rFonts w:hint="default"/>
          <w:lang w:val="en"/>
        </w:rPr>
        <w:t xml:space="preserve">           </w:t>
      </w:r>
    </w:p>
    <w:p>
      <w:pPr>
        <w:keepNext w:val="0"/>
        <w:keepLines w:val="0"/>
        <w:pageBreakBefore w:val="0"/>
        <w:widowControl/>
        <w:kinsoku w:val="0"/>
        <w:wordWrap/>
        <w:overflowPunct/>
        <w:topLinePunct w:val="0"/>
        <w:autoSpaceDE w:val="0"/>
        <w:autoSpaceDN w:val="0"/>
        <w:bidi w:val="0"/>
        <w:adjustRightInd w:val="0"/>
        <w:snapToGrid w:val="0"/>
        <w:spacing w:line="720" w:lineRule="auto"/>
        <w:textAlignment w:val="baseline"/>
        <w:sectPr>
          <w:footerReference r:id="rId14" w:type="default"/>
          <w:pgSz w:w="11910" w:h="16840"/>
          <w:pgMar w:top="1431" w:right="1521" w:bottom="1142" w:left="1769" w:header="0" w:footer="1013" w:gutter="0"/>
          <w:pgNumType w:fmt="decimal"/>
          <w:cols w:space="720" w:num="1"/>
        </w:sectPr>
      </w:pPr>
      <w:r>
        <w:rPr>
          <w:rFonts w:hint="eastAsia" w:eastAsia="宋体"/>
          <w:lang w:val="en-US" w:eastAsia="zh-CN"/>
        </w:rPr>
        <w:t xml:space="preserve">           </w:t>
      </w:r>
      <w:r>
        <w:drawing>
          <wp:inline distT="0" distB="0" distL="114300" distR="114300">
            <wp:extent cx="4161155" cy="2455545"/>
            <wp:effectExtent l="4445" t="4445" r="6350" b="16510"/>
            <wp:docPr id="10"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pPr>
        <w:widowControl w:val="0"/>
        <w:numPr>
          <w:ilvl w:val="0"/>
          <w:numId w:val="3"/>
        </w:numPr>
        <w:kinsoku/>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一般公共预算财政拨款支出决算情况说明</w:t>
      </w:r>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420" w:firstLineChars="200"/>
        <w:jc w:val="both"/>
        <w:textAlignment w:val="baseline"/>
        <w:rPr>
          <w:rFonts w:hint="eastAsia" w:ascii="Times New Roman" w:hAnsi="Times New Roman" w:eastAsia="方正仿宋_GBK" w:cs="Times New Roman"/>
          <w:color w:val="auto"/>
          <w:spacing w:val="11"/>
          <w:sz w:val="32"/>
          <w:szCs w:val="32"/>
          <w:highlight w:val="none"/>
          <w:lang w:val="en-US" w:eastAsia="zh-CN" w:bidi="ar-SA"/>
        </w:rPr>
      </w:pPr>
      <w:r>
        <w:rPr>
          <w:rFonts w:hint="eastAsia"/>
          <w:lang w:val="en-US" w:eastAsia="zh-CN"/>
        </w:rPr>
        <w:t xml:space="preserve">    </w:t>
      </w:r>
      <w:r>
        <w:rPr>
          <w:rFonts w:hint="eastAsia" w:ascii="Times New Roman" w:hAnsi="Times New Roman" w:eastAsia="方正仿宋_GBK" w:cs="Times New Roman"/>
          <w:color w:val="auto"/>
          <w:spacing w:val="11"/>
          <w:sz w:val="32"/>
          <w:szCs w:val="32"/>
          <w:highlight w:val="none"/>
          <w:lang w:val="zh-CN" w:eastAsia="zh-CN" w:bidi="ar-SA"/>
        </w:rPr>
        <w:t>按照党中央、国务院关于党政机关习惯过紧日子的有关要求，郴州市消防救援支队本级厉行节约办一切事业，严控一般性支出，同时坚持有保有压，优化支出结构，合理保障消防救援队伍人员薪酬、日常运转等</w:t>
      </w:r>
      <w:r>
        <w:rPr>
          <w:rFonts w:hint="eastAsia" w:ascii="Times New Roman" w:hAnsi="Times New Roman" w:eastAsia="方正仿宋_GBK" w:cs="Times New Roman"/>
          <w:color w:val="auto"/>
          <w:spacing w:val="11"/>
          <w:sz w:val="32"/>
          <w:szCs w:val="32"/>
          <w:highlight w:val="none"/>
          <w:lang w:val="en-US" w:eastAsia="zh-CN" w:bidi="ar-SA"/>
        </w:rPr>
        <w:t>重点支出，持续提高资金使用效益，体现在有关支出科目中。</w:t>
      </w:r>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lang w:val="en-US" w:eastAsia="zh-CN"/>
        </w:rPr>
      </w:pPr>
      <w:r>
        <w:rPr>
          <w:rFonts w:hint="eastAsia" w:ascii="Times New Roman" w:hAnsi="Times New Roman" w:eastAsia="方正仿宋_GBK" w:cs="Times New Roman"/>
          <w:color w:val="auto"/>
          <w:spacing w:val="11"/>
          <w:sz w:val="32"/>
          <w:szCs w:val="32"/>
          <w:highlight w:val="none"/>
          <w:lang w:val="en-US" w:eastAsia="zh-CN" w:bidi="ar-SA"/>
        </w:rPr>
        <w:t xml:space="preserve"> 按照支出功能分类，项级科目2240201行政运行支出规模较大，2025年度决算数为6014.29</w:t>
      </w:r>
      <w:r>
        <w:rPr>
          <w:rFonts w:hint="default" w:ascii="Times New Roman" w:hAnsi="Times New Roman" w:eastAsia="方正仿宋_GBK" w:cs="Times New Roman"/>
          <w:color w:val="auto"/>
          <w:spacing w:val="11"/>
          <w:sz w:val="32"/>
          <w:szCs w:val="32"/>
          <w:highlight w:val="none"/>
          <w:lang w:val="en-US" w:eastAsia="zh-CN" w:bidi="ar-SA"/>
        </w:rPr>
        <w:t>万</w:t>
      </w:r>
      <w:r>
        <w:rPr>
          <w:rFonts w:hint="default" w:ascii="Times New Roman" w:hAnsi="Times New Roman" w:eastAsia="方正仿宋_GBK" w:cs="Times New Roman"/>
          <w:color w:val="auto"/>
          <w:spacing w:val="11"/>
          <w:sz w:val="32"/>
          <w:szCs w:val="32"/>
          <w:highlight w:val="none"/>
          <w:lang w:val="zh-CN" w:eastAsia="zh-CN" w:bidi="ar-SA"/>
        </w:rPr>
        <w:t>元，占</w:t>
      </w:r>
      <w:r>
        <w:rPr>
          <w:rFonts w:hint="eastAsia" w:ascii="Times New Roman" w:hAnsi="Times New Roman" w:eastAsia="方正仿宋_GBK" w:cs="Times New Roman"/>
          <w:color w:val="auto"/>
          <w:spacing w:val="11"/>
          <w:sz w:val="32"/>
          <w:szCs w:val="32"/>
          <w:highlight w:val="none"/>
          <w:lang w:val="en-US" w:eastAsia="zh-CN" w:bidi="ar-SA"/>
        </w:rPr>
        <w:t>70.6</w:t>
      </w:r>
      <w:r>
        <w:rPr>
          <w:rFonts w:hint="default" w:ascii="Times New Roman" w:hAnsi="Times New Roman" w:eastAsia="方正仿宋_GBK" w:cs="Times New Roman"/>
          <w:color w:val="auto"/>
          <w:spacing w:val="11"/>
          <w:sz w:val="32"/>
          <w:szCs w:val="32"/>
          <w:highlight w:val="none"/>
          <w:lang w:val="zh-CN" w:eastAsia="zh-CN" w:bidi="ar-SA"/>
        </w:rPr>
        <w:t>%</w:t>
      </w:r>
      <w:r>
        <w:rPr>
          <w:rFonts w:hint="eastAsia" w:ascii="Times New Roman" w:hAnsi="Times New Roman" w:eastAsia="方正仿宋_GBK" w:cs="Times New Roman"/>
          <w:color w:val="auto"/>
          <w:spacing w:val="11"/>
          <w:sz w:val="32"/>
          <w:szCs w:val="32"/>
          <w:highlight w:val="none"/>
          <w:lang w:val="zh-CN" w:eastAsia="zh-CN" w:bidi="ar-SA"/>
        </w:rPr>
        <w:t>，</w:t>
      </w:r>
      <w:r>
        <w:rPr>
          <w:rFonts w:hint="eastAsia" w:ascii="Times New Roman" w:hAnsi="Times New Roman" w:eastAsia="方正仿宋_GBK" w:cs="Times New Roman"/>
          <w:color w:val="auto"/>
          <w:spacing w:val="11"/>
          <w:sz w:val="32"/>
          <w:szCs w:val="32"/>
          <w:highlight w:val="none"/>
          <w:lang w:val="en-US" w:eastAsia="zh-CN" w:bidi="ar-SA"/>
        </w:rPr>
        <w:t>主要用于保障消防救援人员薪酬、日常运转等支出，比2024年度减少1411.91万元，降低19%，主要原因是</w:t>
      </w:r>
      <w:r>
        <w:rPr>
          <w:rFonts w:hint="default" w:ascii="Times New Roman" w:hAnsi="Times New Roman" w:eastAsia="方正仿宋_GBK" w:cs="Times New Roman"/>
          <w:color w:val="auto"/>
          <w:spacing w:val="11"/>
          <w:sz w:val="32"/>
          <w:szCs w:val="32"/>
          <w:highlight w:val="none"/>
          <w:lang w:val="zh-CN" w:eastAsia="zh-CN" w:bidi="ar-SA"/>
        </w:rPr>
        <w:t>我单位于</w:t>
      </w:r>
      <w:r>
        <w:rPr>
          <w:rFonts w:hint="default" w:ascii="Times New Roman" w:hAnsi="Times New Roman" w:eastAsia="方正仿宋_GBK" w:cs="Times New Roman"/>
          <w:color w:val="auto"/>
          <w:spacing w:val="11"/>
          <w:sz w:val="32"/>
          <w:szCs w:val="32"/>
          <w:highlight w:val="none"/>
          <w:lang w:val="en-US" w:eastAsia="zh-CN" w:bidi="ar-SA"/>
        </w:rPr>
        <w:t>2024年已完成</w:t>
      </w:r>
      <w:r>
        <w:rPr>
          <w:rFonts w:hint="eastAsia" w:ascii="Times New Roman" w:hAnsi="Times New Roman" w:eastAsia="方正仿宋_GBK" w:cs="Times New Roman"/>
          <w:color w:val="auto"/>
          <w:spacing w:val="11"/>
          <w:sz w:val="32"/>
          <w:szCs w:val="32"/>
          <w:highlight w:val="none"/>
          <w:lang w:val="en-US" w:eastAsia="zh-CN" w:bidi="ar-SA"/>
        </w:rPr>
        <w:t>补缴以前年度</w:t>
      </w:r>
      <w:r>
        <w:rPr>
          <w:rFonts w:hint="eastAsia" w:ascii="Times New Roman" w:hAnsi="Times New Roman" w:eastAsia="方正仿宋_GBK" w:cs="Times New Roman"/>
          <w:color w:val="auto"/>
          <w:spacing w:val="11"/>
          <w:sz w:val="32"/>
          <w:szCs w:val="32"/>
          <w:highlight w:val="none"/>
          <w:lang w:val="zh-CN" w:eastAsia="zh-CN" w:bidi="ar-SA"/>
        </w:rPr>
        <w:t>养老、</w:t>
      </w:r>
      <w:r>
        <w:rPr>
          <w:rFonts w:hint="eastAsia" w:ascii="Times New Roman" w:hAnsi="Times New Roman" w:eastAsia="方正仿宋_GBK" w:cs="Times New Roman"/>
          <w:color w:val="auto"/>
          <w:spacing w:val="11"/>
          <w:sz w:val="32"/>
          <w:szCs w:val="32"/>
          <w:highlight w:val="none"/>
          <w:lang w:val="en-US" w:eastAsia="zh-CN" w:bidi="ar-SA"/>
        </w:rPr>
        <w:t>医疗</w:t>
      </w:r>
      <w:r>
        <w:rPr>
          <w:rFonts w:hint="eastAsia" w:ascii="Times New Roman" w:hAnsi="Times New Roman" w:eastAsia="方正仿宋_GBK" w:cs="Times New Roman"/>
          <w:color w:val="auto"/>
          <w:spacing w:val="11"/>
          <w:sz w:val="32"/>
          <w:szCs w:val="32"/>
          <w:highlight w:val="none"/>
          <w:lang w:val="zh-CN" w:eastAsia="zh-CN" w:bidi="ar-SA"/>
        </w:rPr>
        <w:t>保险</w:t>
      </w:r>
      <w:r>
        <w:rPr>
          <w:rFonts w:hint="eastAsia" w:ascii="Times New Roman" w:hAnsi="Times New Roman" w:eastAsia="方正仿宋_GBK" w:cs="Times New Roman"/>
          <w:color w:val="auto"/>
          <w:spacing w:val="11"/>
          <w:sz w:val="32"/>
          <w:szCs w:val="32"/>
          <w:highlight w:val="none"/>
          <w:lang w:val="en-US" w:eastAsia="zh-CN" w:bidi="ar-SA"/>
        </w:rPr>
        <w:t>工作，相应减少支出。</w:t>
      </w:r>
    </w:p>
    <w:p>
      <w:pPr>
        <w:spacing w:before="331" w:line="227" w:lineRule="auto"/>
        <w:ind w:left="777"/>
        <w:rPr>
          <w:rFonts w:hint="eastAsia" w:ascii="楷体" w:hAnsi="楷体" w:eastAsia="楷体" w:cs="楷体"/>
          <w:b/>
          <w:bCs/>
          <w:spacing w:val="20"/>
          <w:sz w:val="31"/>
          <w:szCs w:val="31"/>
          <w:lang w:val="zh-CN" w:eastAsia="zh-CN"/>
        </w:rPr>
      </w:pPr>
      <w:r>
        <w:rPr>
          <w:rFonts w:hint="eastAsia" w:ascii="楷体" w:hAnsi="楷体" w:eastAsia="楷体" w:cs="楷体"/>
          <w:b/>
          <w:bCs/>
          <w:spacing w:val="20"/>
          <w:sz w:val="31"/>
          <w:szCs w:val="31"/>
          <w:lang w:val="zh-CN" w:eastAsia="zh-CN"/>
        </w:rPr>
        <w:t>(一)财政拨款支出决算总体情况</w:t>
      </w:r>
    </w:p>
    <w:p>
      <w:pPr>
        <w:keepNext w:val="0"/>
        <w:keepLines w:val="0"/>
        <w:pageBreakBefore w:val="0"/>
        <w:widowControl w:val="0"/>
        <w:kinsoku/>
        <w:wordWrap/>
        <w:overflowPunct/>
        <w:topLinePunct w:val="0"/>
        <w:autoSpaceDE w:val="0"/>
        <w:autoSpaceDN w:val="0"/>
        <w:bidi w:val="0"/>
        <w:adjustRightInd/>
        <w:snapToGrid/>
        <w:spacing w:before="100" w:beforeAutospacing="1" w:line="317" w:lineRule="auto"/>
        <w:ind w:right="0" w:rightChars="0" w:firstLine="684" w:firstLineChars="200"/>
        <w:jc w:val="left"/>
        <w:textAlignment w:val="auto"/>
        <w:rPr>
          <w:rFonts w:hint="eastAsia" w:eastAsia="宋体"/>
          <w:lang w:val="en-US" w:eastAsia="zh-CN"/>
        </w:rPr>
      </w:pPr>
      <w:r>
        <w:rPr>
          <w:rFonts w:hint="eastAsia" w:ascii="Times New Roman" w:hAnsi="Times New Roman" w:eastAsia="方正仿宋_GBK" w:cs="Times New Roman"/>
          <w:color w:val="auto"/>
          <w:spacing w:val="11"/>
          <w:sz w:val="32"/>
          <w:szCs w:val="32"/>
          <w:highlight w:val="none"/>
          <w:lang w:val="zh-CN" w:eastAsia="zh-CN" w:bidi="ar-SA"/>
        </w:rPr>
        <w:t>202</w:t>
      </w:r>
      <w:r>
        <w:rPr>
          <w:rFonts w:hint="eastAsia" w:ascii="Times New Roman" w:hAnsi="Times New Roman" w:eastAsia="方正仿宋_GBK" w:cs="Times New Roman"/>
          <w:color w:val="auto"/>
          <w:spacing w:val="11"/>
          <w:sz w:val="32"/>
          <w:szCs w:val="32"/>
          <w:highlight w:val="none"/>
          <w:lang w:val="en-US" w:eastAsia="zh-CN" w:bidi="ar-SA"/>
        </w:rPr>
        <w:t>5</w:t>
      </w:r>
      <w:r>
        <w:rPr>
          <w:rFonts w:hint="eastAsia" w:ascii="Times New Roman" w:hAnsi="Times New Roman" w:eastAsia="方正仿宋_GBK" w:cs="Times New Roman"/>
          <w:color w:val="auto"/>
          <w:spacing w:val="11"/>
          <w:sz w:val="32"/>
          <w:szCs w:val="32"/>
          <w:highlight w:val="none"/>
          <w:lang w:val="zh-CN" w:eastAsia="zh-CN" w:bidi="ar-SA"/>
        </w:rPr>
        <w:t>年度财政拨款支出</w:t>
      </w:r>
      <w:r>
        <w:rPr>
          <w:rFonts w:hint="eastAsia" w:ascii="Times New Roman" w:hAnsi="Times New Roman" w:eastAsia="方正仿宋_GBK" w:cs="Times New Roman"/>
          <w:color w:val="auto"/>
          <w:spacing w:val="11"/>
          <w:sz w:val="32"/>
          <w:szCs w:val="32"/>
          <w:highlight w:val="none"/>
          <w:lang w:val="en-US" w:eastAsia="zh-CN" w:bidi="ar-SA"/>
        </w:rPr>
        <w:t>8523.14</w:t>
      </w:r>
      <w:r>
        <w:rPr>
          <w:rFonts w:hint="eastAsia" w:ascii="Times New Roman" w:hAnsi="Times New Roman" w:eastAsia="方正仿宋_GBK" w:cs="Times New Roman"/>
          <w:color w:val="auto"/>
          <w:spacing w:val="11"/>
          <w:sz w:val="32"/>
          <w:szCs w:val="32"/>
          <w:highlight w:val="none"/>
          <w:lang w:val="zh-CN" w:eastAsia="zh-CN" w:bidi="ar-SA"/>
        </w:rPr>
        <w:t>万元，占本年支出的</w:t>
      </w:r>
      <w:r>
        <w:rPr>
          <w:rFonts w:hint="eastAsia" w:ascii="Times New Roman" w:hAnsi="Times New Roman" w:eastAsia="方正仿宋_GBK" w:cs="Times New Roman"/>
          <w:color w:val="auto"/>
          <w:spacing w:val="11"/>
          <w:sz w:val="32"/>
          <w:szCs w:val="32"/>
          <w:highlight w:val="none"/>
          <w:lang w:val="en-US" w:eastAsia="zh-CN" w:bidi="ar-SA"/>
        </w:rPr>
        <w:t>64.4</w:t>
      </w:r>
      <w:r>
        <w:rPr>
          <w:rFonts w:hint="eastAsia" w:ascii="Times New Roman" w:hAnsi="Times New Roman" w:eastAsia="方正仿宋_GBK" w:cs="Times New Roman"/>
          <w:color w:val="auto"/>
          <w:spacing w:val="11"/>
          <w:sz w:val="32"/>
          <w:szCs w:val="32"/>
          <w:highlight w:val="none"/>
          <w:lang w:val="zh-CN" w:eastAsia="zh-CN" w:bidi="ar-SA"/>
        </w:rPr>
        <w:t>%。与202</w:t>
      </w:r>
      <w:r>
        <w:rPr>
          <w:rFonts w:hint="eastAsia" w:ascii="Times New Roman" w:hAnsi="Times New Roman" w:eastAsia="方正仿宋_GBK" w:cs="Times New Roman"/>
          <w:color w:val="auto"/>
          <w:spacing w:val="11"/>
          <w:sz w:val="32"/>
          <w:szCs w:val="32"/>
          <w:highlight w:val="none"/>
          <w:lang w:val="en-US" w:eastAsia="zh-CN" w:bidi="ar-SA"/>
        </w:rPr>
        <w:t>4</w:t>
      </w:r>
      <w:r>
        <w:rPr>
          <w:rFonts w:hint="eastAsia" w:ascii="Times New Roman" w:hAnsi="Times New Roman" w:eastAsia="方正仿宋_GBK" w:cs="Times New Roman"/>
          <w:color w:val="auto"/>
          <w:spacing w:val="11"/>
          <w:sz w:val="32"/>
          <w:szCs w:val="32"/>
          <w:highlight w:val="none"/>
          <w:lang w:val="zh-CN" w:eastAsia="zh-CN" w:bidi="ar-SA"/>
        </w:rPr>
        <w:t>年度相比，财政拨款支出减少</w:t>
      </w:r>
      <w:r>
        <w:rPr>
          <w:rFonts w:hint="eastAsia" w:ascii="Times New Roman" w:hAnsi="Times New Roman" w:eastAsia="方正仿宋_GBK" w:cs="Times New Roman"/>
          <w:color w:val="auto"/>
          <w:spacing w:val="11"/>
          <w:sz w:val="32"/>
          <w:szCs w:val="32"/>
          <w:highlight w:val="none"/>
          <w:lang w:val="en-US" w:eastAsia="zh-CN" w:bidi="ar-SA"/>
        </w:rPr>
        <w:t>9788.17</w:t>
      </w:r>
      <w:r>
        <w:rPr>
          <w:rFonts w:hint="eastAsia" w:ascii="Times New Roman" w:hAnsi="Times New Roman" w:eastAsia="方正仿宋_GBK" w:cs="Times New Roman"/>
          <w:color w:val="auto"/>
          <w:spacing w:val="11"/>
          <w:sz w:val="32"/>
          <w:szCs w:val="32"/>
          <w:highlight w:val="none"/>
          <w:lang w:val="zh-CN" w:eastAsia="zh-CN" w:bidi="ar-SA"/>
        </w:rPr>
        <w:t>万元，下降</w:t>
      </w:r>
      <w:r>
        <w:rPr>
          <w:rFonts w:hint="eastAsia" w:ascii="Times New Roman" w:hAnsi="Times New Roman" w:eastAsia="方正仿宋_GBK" w:cs="Times New Roman"/>
          <w:color w:val="auto"/>
          <w:spacing w:val="11"/>
          <w:sz w:val="32"/>
          <w:szCs w:val="32"/>
          <w:highlight w:val="none"/>
          <w:lang w:val="en-US" w:eastAsia="zh-CN" w:bidi="ar-SA"/>
        </w:rPr>
        <w:t>53.5</w:t>
      </w:r>
      <w:r>
        <w:rPr>
          <w:rFonts w:hint="eastAsia" w:ascii="Times New Roman" w:hAnsi="Times New Roman" w:eastAsia="方正仿宋_GBK" w:cs="Times New Roman"/>
          <w:color w:val="auto"/>
          <w:spacing w:val="11"/>
          <w:sz w:val="32"/>
          <w:szCs w:val="32"/>
          <w:highlight w:val="none"/>
          <w:lang w:val="zh-CN" w:eastAsia="zh-CN" w:bidi="ar-SA"/>
        </w:rPr>
        <w:t>%，主要是</w:t>
      </w:r>
      <w:r>
        <w:rPr>
          <w:rFonts w:hint="eastAsia" w:ascii="Times New Roman" w:hAnsi="Times New Roman" w:eastAsia="方正仿宋_GBK" w:cs="Times New Roman"/>
          <w:color w:val="auto"/>
          <w:spacing w:val="11"/>
          <w:sz w:val="32"/>
          <w:szCs w:val="32"/>
          <w:highlight w:val="none"/>
          <w:lang w:val="en-US" w:eastAsia="zh-CN" w:bidi="ar-SA"/>
        </w:rPr>
        <w:t>2024年已完成补缴以前年度</w:t>
      </w:r>
      <w:r>
        <w:rPr>
          <w:rFonts w:hint="eastAsia" w:ascii="Times New Roman" w:hAnsi="Times New Roman" w:eastAsia="方正仿宋_GBK" w:cs="Times New Roman"/>
          <w:color w:val="auto"/>
          <w:spacing w:val="11"/>
          <w:sz w:val="32"/>
          <w:szCs w:val="32"/>
          <w:highlight w:val="none"/>
          <w:lang w:val="zh-CN" w:eastAsia="zh-CN" w:bidi="ar-SA"/>
        </w:rPr>
        <w:t>养老、医疗保险工作，相应减少支出。</w:t>
      </w:r>
      <w:r>
        <w:rPr>
          <w:rFonts w:hint="eastAsia" w:ascii="Times New Roman" w:hAnsi="Times New Roman" w:eastAsia="方正仿宋_GBK" w:cs="Times New Roman"/>
          <w:color w:val="auto"/>
          <w:spacing w:val="11"/>
          <w:sz w:val="32"/>
          <w:szCs w:val="32"/>
          <w:highlight w:val="none"/>
          <w:lang w:val="en-US" w:eastAsia="zh-CN" w:bidi="ar-SA"/>
        </w:rPr>
        <w:t xml:space="preserve">     </w:t>
      </w:r>
      <w:r>
        <w:rPr>
          <w:rFonts w:hint="eastAsia" w:ascii="方正仿宋_GBK" w:hAnsi="方正仿宋_GBK" w:eastAsia="方正仿宋_GBK" w:cs="方正仿宋_GBK"/>
          <w:snapToGrid/>
          <w:kern w:val="0"/>
          <w:sz w:val="32"/>
          <w:szCs w:val="32"/>
          <w:lang w:val="en-US" w:eastAsia="zh-CN" w:bidi="zh-CN"/>
        </w:rPr>
        <w:t xml:space="preserve">       </w:t>
      </w:r>
      <w:r>
        <w:drawing>
          <wp:inline distT="0" distB="0" distL="114300" distR="114300">
            <wp:extent cx="4794885" cy="2868295"/>
            <wp:effectExtent l="4445" t="4445" r="20320" b="22860"/>
            <wp:docPr id="11" name="图片 7"/>
            <wp:cNvGraphicFramePr>
              <a:graphicFrameLocks xmlns:a="http://schemas.openxmlformats.org/drawingml/2006/main" noChangeAspect="true"/>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rFonts w:hint="eastAsia" w:eastAsia="宋体"/>
          <w:lang w:val="en-US" w:eastAsia="zh-CN"/>
        </w:rPr>
        <w:t xml:space="preserve"> </w:t>
      </w:r>
    </w:p>
    <w:p>
      <w:pPr>
        <w:spacing w:before="331" w:line="227" w:lineRule="auto"/>
        <w:ind w:left="777"/>
        <w:rPr>
          <w:rFonts w:ascii="楷体" w:hAnsi="楷体" w:eastAsia="楷体" w:cs="楷体"/>
          <w:sz w:val="31"/>
          <w:szCs w:val="31"/>
        </w:rPr>
      </w:pPr>
      <w:r>
        <w:rPr>
          <w:rFonts w:ascii="楷体" w:hAnsi="楷体" w:eastAsia="楷体" w:cs="楷体"/>
          <w:b/>
          <w:bCs/>
          <w:spacing w:val="20"/>
          <w:sz w:val="31"/>
          <w:szCs w:val="31"/>
        </w:rPr>
        <w:t>(二)财政拨款支出决算结构情况</w:t>
      </w:r>
    </w:p>
    <w:p>
      <w:pPr>
        <w:spacing w:before="223" w:line="352" w:lineRule="auto"/>
        <w:ind w:right="134" w:firstLine="640" w:firstLineChars="200"/>
        <w:jc w:val="both"/>
        <w:rPr>
          <w:rFonts w:ascii="Arial"/>
          <w:sz w:val="21"/>
        </w:rPr>
      </w:pPr>
      <w:r>
        <w:rPr>
          <w:rFonts w:hint="eastAsia" w:ascii="方正仿宋_GBK" w:hAnsi="方正仿宋_GBK" w:eastAsia="方正仿宋_GBK" w:cs="方正仿宋_GBK"/>
          <w:snapToGrid/>
          <w:kern w:val="0"/>
          <w:sz w:val="32"/>
          <w:szCs w:val="32"/>
          <w:lang w:val="zh-CN" w:eastAsia="zh-CN" w:bidi="zh-CN"/>
        </w:rPr>
        <w:t>202</w:t>
      </w:r>
      <w:r>
        <w:rPr>
          <w:rFonts w:hint="eastAsia" w:ascii="方正仿宋_GBK" w:hAnsi="方正仿宋_GBK" w:eastAsia="方正仿宋_GBK" w:cs="方正仿宋_GBK"/>
          <w:snapToGrid/>
          <w:kern w:val="0"/>
          <w:sz w:val="32"/>
          <w:szCs w:val="32"/>
          <w:lang w:val="en-US" w:eastAsia="zh-CN" w:bidi="zh-CN"/>
        </w:rPr>
        <w:t>5</w:t>
      </w:r>
      <w:r>
        <w:rPr>
          <w:rFonts w:hint="eastAsia" w:ascii="方正仿宋_GBK" w:hAnsi="方正仿宋_GBK" w:eastAsia="方正仿宋_GBK" w:cs="方正仿宋_GBK"/>
          <w:snapToGrid/>
          <w:kern w:val="0"/>
          <w:sz w:val="32"/>
          <w:szCs w:val="32"/>
          <w:lang w:val="zh-CN" w:eastAsia="zh-CN" w:bidi="zh-CN"/>
        </w:rPr>
        <w:t>年度一般公共预算财政拨款支出</w:t>
      </w:r>
      <w:r>
        <w:rPr>
          <w:rFonts w:hint="eastAsia" w:ascii="方正仿宋_GBK" w:hAnsi="方正仿宋_GBK" w:eastAsia="方正仿宋_GBK" w:cs="方正仿宋_GBK"/>
          <w:snapToGrid/>
          <w:kern w:val="0"/>
          <w:sz w:val="32"/>
          <w:szCs w:val="32"/>
          <w:lang w:val="en-US" w:eastAsia="zh-CN" w:bidi="zh-CN"/>
        </w:rPr>
        <w:t>8523.14</w:t>
      </w:r>
      <w:r>
        <w:rPr>
          <w:rFonts w:hint="eastAsia" w:ascii="方正仿宋_GBK" w:hAnsi="方正仿宋_GBK" w:eastAsia="方正仿宋_GBK" w:cs="方正仿宋_GBK"/>
          <w:snapToGrid/>
          <w:kern w:val="0"/>
          <w:sz w:val="32"/>
          <w:szCs w:val="32"/>
          <w:lang w:val="zh-CN" w:eastAsia="zh-CN" w:bidi="zh-CN"/>
        </w:rPr>
        <w:t>万元，主要用于以下方面：社会保障和就业支出</w:t>
      </w:r>
      <w:r>
        <w:rPr>
          <w:rFonts w:hint="eastAsia" w:ascii="方正仿宋_GBK" w:hAnsi="方正仿宋_GBK" w:eastAsia="方正仿宋_GBK" w:cs="方正仿宋_GBK"/>
          <w:snapToGrid/>
          <w:kern w:val="0"/>
          <w:sz w:val="32"/>
          <w:szCs w:val="32"/>
          <w:lang w:val="en-US" w:eastAsia="zh-CN" w:bidi="zh-CN"/>
        </w:rPr>
        <w:t>514.8万元，</w:t>
      </w:r>
      <w:r>
        <w:rPr>
          <w:rFonts w:hint="eastAsia" w:ascii="方正仿宋_GBK" w:hAnsi="方正仿宋_GBK" w:eastAsia="方正仿宋_GBK" w:cs="方正仿宋_GBK"/>
          <w:snapToGrid/>
          <w:kern w:val="0"/>
          <w:sz w:val="32"/>
          <w:szCs w:val="32"/>
          <w:lang w:val="zh-CN" w:eastAsia="zh-CN" w:bidi="zh-CN"/>
        </w:rPr>
        <w:t>占</w:t>
      </w:r>
      <w:r>
        <w:rPr>
          <w:rFonts w:hint="eastAsia" w:ascii="方正仿宋_GBK" w:hAnsi="方正仿宋_GBK" w:eastAsia="方正仿宋_GBK" w:cs="方正仿宋_GBK"/>
          <w:snapToGrid/>
          <w:kern w:val="0"/>
          <w:sz w:val="32"/>
          <w:szCs w:val="32"/>
          <w:lang w:val="en-US" w:eastAsia="zh-CN" w:bidi="zh-CN"/>
        </w:rPr>
        <w:t>6</w:t>
      </w:r>
      <w:r>
        <w:rPr>
          <w:rFonts w:hint="eastAsia" w:ascii="方正仿宋_GBK" w:hAnsi="方正仿宋_GBK" w:eastAsia="方正仿宋_GBK" w:cs="方正仿宋_GBK"/>
          <w:snapToGrid/>
          <w:kern w:val="0"/>
          <w:sz w:val="32"/>
          <w:szCs w:val="32"/>
          <w:lang w:val="zh-CN" w:eastAsia="zh-CN" w:bidi="zh-CN"/>
        </w:rPr>
        <w:t>%；卫生健康支出</w:t>
      </w:r>
      <w:r>
        <w:rPr>
          <w:rFonts w:hint="eastAsia" w:ascii="方正仿宋_GBK" w:hAnsi="方正仿宋_GBK" w:eastAsia="方正仿宋_GBK" w:cs="方正仿宋_GBK"/>
          <w:snapToGrid/>
          <w:kern w:val="0"/>
          <w:sz w:val="32"/>
          <w:szCs w:val="32"/>
          <w:lang w:val="en-US" w:eastAsia="zh-CN" w:bidi="zh-CN"/>
        </w:rPr>
        <w:t>480.97</w:t>
      </w:r>
      <w:r>
        <w:rPr>
          <w:rFonts w:hint="eastAsia" w:ascii="方正仿宋_GBK" w:hAnsi="方正仿宋_GBK" w:eastAsia="方正仿宋_GBK" w:cs="方正仿宋_GBK"/>
          <w:snapToGrid/>
          <w:kern w:val="0"/>
          <w:sz w:val="32"/>
          <w:szCs w:val="32"/>
          <w:lang w:val="zh-CN" w:eastAsia="zh-CN" w:bidi="zh-CN"/>
        </w:rPr>
        <w:t>万元，占</w:t>
      </w:r>
      <w:r>
        <w:rPr>
          <w:rFonts w:hint="eastAsia" w:ascii="方正仿宋_GBK" w:hAnsi="方正仿宋_GBK" w:eastAsia="方正仿宋_GBK" w:cs="方正仿宋_GBK"/>
          <w:snapToGrid/>
          <w:kern w:val="0"/>
          <w:sz w:val="32"/>
          <w:szCs w:val="32"/>
          <w:lang w:val="en-US" w:eastAsia="zh-CN" w:bidi="zh-CN"/>
        </w:rPr>
        <w:t>5.6</w:t>
      </w:r>
      <w:r>
        <w:rPr>
          <w:rFonts w:hint="eastAsia" w:ascii="方正仿宋_GBK" w:hAnsi="方正仿宋_GBK" w:eastAsia="方正仿宋_GBK" w:cs="方正仿宋_GBK"/>
          <w:snapToGrid/>
          <w:kern w:val="0"/>
          <w:sz w:val="32"/>
          <w:szCs w:val="32"/>
          <w:lang w:val="zh-CN" w:eastAsia="zh-CN" w:bidi="zh-CN"/>
        </w:rPr>
        <w:t>%</w:t>
      </w:r>
      <w:r>
        <w:rPr>
          <w:rFonts w:hint="default" w:ascii="方正仿宋_GBK" w:hAnsi="方正仿宋_GBK" w:eastAsia="方正仿宋_GBK" w:cs="方正仿宋_GBK"/>
          <w:snapToGrid/>
          <w:kern w:val="0"/>
          <w:sz w:val="32"/>
          <w:szCs w:val="32"/>
          <w:lang w:val="en" w:eastAsia="zh-CN" w:bidi="zh-CN"/>
        </w:rPr>
        <w:t>；</w:t>
      </w:r>
      <w:r>
        <w:rPr>
          <w:rFonts w:hint="eastAsia" w:ascii="方正仿宋_GBK" w:hAnsi="方正仿宋_GBK" w:eastAsia="方正仿宋_GBK" w:cs="方正仿宋_GBK"/>
          <w:snapToGrid/>
          <w:kern w:val="0"/>
          <w:sz w:val="32"/>
          <w:szCs w:val="32"/>
          <w:lang w:val="zh-CN" w:eastAsia="zh-CN" w:bidi="zh-CN"/>
        </w:rPr>
        <w:t>住房保障支出</w:t>
      </w:r>
      <w:r>
        <w:rPr>
          <w:rFonts w:hint="eastAsia" w:ascii="方正仿宋_GBK" w:hAnsi="方正仿宋_GBK" w:eastAsia="方正仿宋_GBK" w:cs="方正仿宋_GBK"/>
          <w:snapToGrid/>
          <w:kern w:val="0"/>
          <w:sz w:val="32"/>
          <w:szCs w:val="32"/>
          <w:lang w:val="en-US" w:eastAsia="zh-CN" w:bidi="zh-CN"/>
        </w:rPr>
        <w:t>610.96</w:t>
      </w:r>
      <w:r>
        <w:rPr>
          <w:rFonts w:hint="eastAsia" w:ascii="方正仿宋_GBK" w:hAnsi="方正仿宋_GBK" w:eastAsia="方正仿宋_GBK" w:cs="方正仿宋_GBK"/>
          <w:snapToGrid/>
          <w:kern w:val="0"/>
          <w:sz w:val="32"/>
          <w:szCs w:val="32"/>
          <w:lang w:val="zh-CN" w:eastAsia="zh-CN" w:bidi="zh-CN"/>
        </w:rPr>
        <w:t>万元，占</w:t>
      </w:r>
      <w:r>
        <w:rPr>
          <w:rFonts w:hint="eastAsia" w:ascii="方正仿宋_GBK" w:hAnsi="方正仿宋_GBK" w:eastAsia="方正仿宋_GBK" w:cs="方正仿宋_GBK"/>
          <w:snapToGrid/>
          <w:kern w:val="0"/>
          <w:sz w:val="32"/>
          <w:szCs w:val="32"/>
          <w:lang w:val="en-US" w:eastAsia="zh-CN" w:bidi="zh-CN"/>
        </w:rPr>
        <w:t>7.2</w:t>
      </w:r>
      <w:r>
        <w:rPr>
          <w:rFonts w:hint="eastAsia" w:ascii="方正仿宋_GBK" w:hAnsi="方正仿宋_GBK" w:eastAsia="方正仿宋_GBK" w:cs="方正仿宋_GBK"/>
          <w:snapToGrid/>
          <w:kern w:val="0"/>
          <w:sz w:val="32"/>
          <w:szCs w:val="32"/>
          <w:lang w:val="zh-CN" w:eastAsia="zh-CN" w:bidi="zh-CN"/>
        </w:rPr>
        <w:t>%</w:t>
      </w:r>
      <w:r>
        <w:rPr>
          <w:rFonts w:hint="default" w:ascii="方正仿宋_GBK" w:hAnsi="方正仿宋_GBK" w:eastAsia="方正仿宋_GBK" w:cs="方正仿宋_GBK"/>
          <w:snapToGrid/>
          <w:kern w:val="0"/>
          <w:sz w:val="32"/>
          <w:szCs w:val="32"/>
          <w:lang w:val="en" w:eastAsia="zh-CN" w:bidi="zh-CN"/>
        </w:rPr>
        <w:t>；</w:t>
      </w:r>
      <w:r>
        <w:rPr>
          <w:rFonts w:hint="eastAsia" w:ascii="方正仿宋_GBK" w:hAnsi="方正仿宋_GBK" w:eastAsia="方正仿宋_GBK" w:cs="方正仿宋_GBK"/>
          <w:snapToGrid/>
          <w:kern w:val="0"/>
          <w:sz w:val="32"/>
          <w:szCs w:val="32"/>
          <w:lang w:val="zh-CN" w:eastAsia="zh-CN" w:bidi="zh-CN"/>
        </w:rPr>
        <w:t>灾害防治及应急管理支出</w:t>
      </w:r>
      <w:r>
        <w:rPr>
          <w:rFonts w:hint="eastAsia" w:ascii="方正仿宋_GBK" w:hAnsi="方正仿宋_GBK" w:eastAsia="方正仿宋_GBK" w:cs="方正仿宋_GBK"/>
          <w:snapToGrid/>
          <w:kern w:val="0"/>
          <w:sz w:val="32"/>
          <w:szCs w:val="32"/>
          <w:lang w:val="en-US" w:eastAsia="zh-CN" w:bidi="zh-CN"/>
        </w:rPr>
        <w:t>6916.41</w:t>
      </w:r>
      <w:r>
        <w:rPr>
          <w:rFonts w:hint="eastAsia" w:ascii="方正仿宋_GBK" w:hAnsi="方正仿宋_GBK" w:eastAsia="方正仿宋_GBK" w:cs="方正仿宋_GBK"/>
          <w:snapToGrid/>
          <w:kern w:val="0"/>
          <w:sz w:val="32"/>
          <w:szCs w:val="32"/>
          <w:lang w:val="zh-CN" w:eastAsia="zh-CN" w:bidi="zh-CN"/>
        </w:rPr>
        <w:t>万元，占</w:t>
      </w:r>
      <w:r>
        <w:rPr>
          <w:rFonts w:hint="eastAsia" w:ascii="方正仿宋_GBK" w:hAnsi="方正仿宋_GBK" w:eastAsia="方正仿宋_GBK" w:cs="方正仿宋_GBK"/>
          <w:snapToGrid/>
          <w:kern w:val="0"/>
          <w:sz w:val="32"/>
          <w:szCs w:val="32"/>
          <w:lang w:val="en-US" w:eastAsia="zh-CN" w:bidi="zh-CN"/>
        </w:rPr>
        <w:t>81.1</w:t>
      </w:r>
      <w:r>
        <w:rPr>
          <w:rFonts w:hint="eastAsia" w:ascii="方正仿宋_GBK" w:hAnsi="方正仿宋_GBK" w:eastAsia="方正仿宋_GBK" w:cs="方正仿宋_GBK"/>
          <w:snapToGrid/>
          <w:kern w:val="0"/>
          <w:sz w:val="32"/>
          <w:szCs w:val="32"/>
          <w:lang w:val="zh-CN" w:eastAsia="zh-CN" w:bidi="zh-CN"/>
        </w:rPr>
        <w:t>%。</w:t>
      </w:r>
    </w:p>
    <w:p>
      <w:pPr>
        <w:spacing w:line="311" w:lineRule="auto"/>
        <w:rPr>
          <w:rFonts w:ascii="Arial"/>
          <w:sz w:val="21"/>
        </w:rPr>
      </w:pPr>
      <w:r>
        <w:rPr>
          <w:rFonts w:hint="eastAsia" w:eastAsia="宋体"/>
          <w:lang w:val="en-US" w:eastAsia="zh-CN"/>
        </w:rPr>
        <w:t xml:space="preserve">                 </w:t>
      </w:r>
      <w:r>
        <w:drawing>
          <wp:inline distT="0" distB="0" distL="114300" distR="114300">
            <wp:extent cx="4502150" cy="2882900"/>
            <wp:effectExtent l="4445" t="5080" r="8255" b="7620"/>
            <wp:docPr id="12"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pPr>
        <w:spacing w:before="331" w:line="227" w:lineRule="auto"/>
        <w:ind w:left="777"/>
        <w:rPr>
          <w:rFonts w:hint="eastAsia" w:ascii="楷体" w:hAnsi="楷体" w:eastAsia="楷体" w:cs="楷体"/>
          <w:b/>
          <w:bCs/>
          <w:spacing w:val="20"/>
          <w:sz w:val="31"/>
          <w:szCs w:val="31"/>
          <w:lang w:val="zh-CN" w:eastAsia="zh-CN"/>
        </w:rPr>
      </w:pPr>
      <w:r>
        <w:rPr>
          <w:rFonts w:hint="eastAsia" w:ascii="楷体" w:hAnsi="楷体" w:eastAsia="楷体" w:cs="楷体"/>
          <w:b/>
          <w:bCs/>
          <w:spacing w:val="20"/>
          <w:sz w:val="31"/>
          <w:szCs w:val="31"/>
          <w:lang w:val="zh-CN" w:eastAsia="zh-CN"/>
        </w:rPr>
        <w:t>(三)</w:t>
      </w:r>
      <w:r>
        <w:rPr>
          <w:rFonts w:hint="eastAsia" w:ascii="方正楷体_GBK" w:hAnsi="方正楷体_GBK" w:eastAsia="方正楷体_GBK" w:cs="方正楷体_GBK"/>
          <w:b/>
          <w:bCs/>
          <w:color w:val="000000"/>
          <w:kern w:val="0"/>
          <w:sz w:val="31"/>
          <w:szCs w:val="31"/>
          <w:highlight w:val="none"/>
          <w:lang w:val="en-US" w:eastAsia="zh-CN" w:bidi="ar"/>
        </w:rPr>
        <w:t>一般公共预算</w:t>
      </w:r>
      <w:r>
        <w:rPr>
          <w:rFonts w:ascii="方正楷体_GBK" w:hAnsi="方正楷体_GBK" w:eastAsia="方正楷体_GBK" w:cs="方正楷体_GBK"/>
          <w:b/>
          <w:bCs/>
          <w:color w:val="000000"/>
          <w:kern w:val="0"/>
          <w:sz w:val="31"/>
          <w:szCs w:val="31"/>
          <w:highlight w:val="none"/>
          <w:lang w:val="en-US" w:eastAsia="zh-CN" w:bidi="ar"/>
        </w:rPr>
        <w:t>财政拨款支出决算具体情况</w:t>
      </w:r>
    </w:p>
    <w:p>
      <w:pPr>
        <w:keepNext w:val="0"/>
        <w:keepLines w:val="0"/>
        <w:pageBreakBefore w:val="0"/>
        <w:widowControl w:val="0"/>
        <w:kinsoku/>
        <w:wordWrap/>
        <w:overflowPunct/>
        <w:topLinePunct w:val="0"/>
        <w:autoSpaceDE w:val="0"/>
        <w:autoSpaceDN w:val="0"/>
        <w:bidi w:val="0"/>
        <w:adjustRightInd/>
        <w:snapToGrid/>
        <w:spacing w:before="100" w:beforeAutospacing="1" w:line="317" w:lineRule="auto"/>
        <w:ind w:right="0" w:rightChars="0" w:firstLine="640" w:firstLineChars="200"/>
        <w:jc w:val="both"/>
        <w:textAlignment w:val="auto"/>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color w:val="auto"/>
          <w:kern w:val="0"/>
          <w:sz w:val="32"/>
          <w:szCs w:val="32"/>
          <w:lang w:val="zh-CN" w:eastAsia="zh-CN" w:bidi="zh-CN"/>
        </w:rPr>
        <w:t>202</w:t>
      </w:r>
      <w:r>
        <w:rPr>
          <w:rFonts w:hint="eastAsia" w:ascii="方正仿宋_GBK" w:hAnsi="方正仿宋_GBK" w:eastAsia="方正仿宋_GBK" w:cs="方正仿宋_GBK"/>
          <w:snapToGrid/>
          <w:color w:val="auto"/>
          <w:kern w:val="0"/>
          <w:sz w:val="32"/>
          <w:szCs w:val="32"/>
          <w:lang w:val="en-US" w:eastAsia="zh-CN" w:bidi="zh-CN"/>
        </w:rPr>
        <w:t>5</w:t>
      </w:r>
      <w:r>
        <w:rPr>
          <w:rFonts w:hint="eastAsia" w:ascii="方正仿宋_GBK" w:hAnsi="方正仿宋_GBK" w:eastAsia="方正仿宋_GBK" w:cs="方正仿宋_GBK"/>
          <w:snapToGrid/>
          <w:color w:val="auto"/>
          <w:kern w:val="0"/>
          <w:sz w:val="32"/>
          <w:szCs w:val="32"/>
          <w:lang w:val="zh-CN" w:eastAsia="zh-CN" w:bidi="zh-CN"/>
        </w:rPr>
        <w:t>年度财政拨款支出年初预算为</w:t>
      </w:r>
      <w:r>
        <w:rPr>
          <w:rFonts w:hint="eastAsia" w:ascii="方正仿宋_GBK" w:hAnsi="方正仿宋_GBK" w:eastAsia="方正仿宋_GBK" w:cs="方正仿宋_GBK"/>
          <w:snapToGrid/>
          <w:kern w:val="0"/>
          <w:sz w:val="32"/>
          <w:szCs w:val="32"/>
          <w:lang w:val="en-US" w:eastAsia="zh-CN" w:bidi="zh-CN"/>
        </w:rPr>
        <w:t>10385.12</w:t>
      </w:r>
      <w:r>
        <w:rPr>
          <w:rFonts w:hint="eastAsia" w:ascii="方正仿宋_GBK" w:hAnsi="方正仿宋_GBK" w:eastAsia="方正仿宋_GBK" w:cs="方正仿宋_GBK"/>
          <w:snapToGrid/>
          <w:kern w:val="0"/>
          <w:sz w:val="32"/>
          <w:szCs w:val="32"/>
          <w:lang w:val="zh-CN" w:eastAsia="zh-CN" w:bidi="zh-CN"/>
        </w:rPr>
        <w:t>万元，支出</w:t>
      </w:r>
      <w:r>
        <w:rPr>
          <w:rFonts w:hint="eastAsia" w:ascii="方正仿宋_GBK" w:hAnsi="方正仿宋_GBK" w:eastAsia="方正仿宋_GBK" w:cs="方正仿宋_GBK"/>
          <w:snapToGrid/>
          <w:kern w:val="0"/>
          <w:sz w:val="32"/>
          <w:szCs w:val="32"/>
          <w:lang w:val="en-US" w:eastAsia="zh-CN" w:bidi="zh-CN"/>
        </w:rPr>
        <w:t>决算为8523.14万元，完成年初预算的82.1%。其中：</w:t>
      </w:r>
    </w:p>
    <w:p>
      <w:pPr>
        <w:keepNext w:val="0"/>
        <w:keepLines w:val="0"/>
        <w:pageBreakBefore w:val="0"/>
        <w:numPr>
          <w:ilvl w:val="0"/>
          <w:numId w:val="0"/>
        </w:numPr>
        <w:kinsoku/>
        <w:wordWrap/>
        <w:overflowPunct/>
        <w:topLinePunct w:val="0"/>
        <w:autoSpaceDE w:val="0"/>
        <w:autoSpaceDN w:val="0"/>
        <w:bidi w:val="0"/>
        <w:spacing w:before="119" w:line="262" w:lineRule="auto"/>
        <w:ind w:firstLine="674" w:firstLineChars="200"/>
        <w:jc w:val="both"/>
        <w:rPr>
          <w:rFonts w:hint="eastAsia" w:ascii="Times New Roman" w:hAnsi="Times New Roman" w:eastAsia="方正仿宋_GBK" w:cs="Times New Roman"/>
          <w:b w:val="0"/>
          <w:bCs/>
          <w:color w:val="000000"/>
          <w:kern w:val="0"/>
          <w:sz w:val="32"/>
          <w:szCs w:val="32"/>
          <w:highlight w:val="none"/>
          <w:lang w:val="en-US" w:eastAsia="zh-CN" w:bidi="ar-SA"/>
        </w:rPr>
      </w:pPr>
      <w:r>
        <w:rPr>
          <w:rFonts w:hint="eastAsia" w:ascii="Times New Roman" w:hAnsi="Times New Roman" w:eastAsia="方正仿宋_GBK" w:cs="Times New Roman"/>
          <w:b/>
          <w:bCs/>
          <w:snapToGrid w:val="0"/>
          <w:color w:val="auto"/>
          <w:spacing w:val="8"/>
          <w:kern w:val="0"/>
          <w:sz w:val="32"/>
          <w:szCs w:val="32"/>
          <w:lang w:val="en-US" w:eastAsia="zh-CN" w:bidi="ar-SA"/>
        </w:rPr>
        <w:t>1、社会保障和就业支出（类）行政事业单位养老支出（款）机关事业单位基本养老保险缴费支出（项）。</w:t>
      </w:r>
      <w:r>
        <w:rPr>
          <w:rFonts w:hint="eastAsia" w:ascii="方正仿宋_GBK" w:hAnsi="方正仿宋_GBK" w:eastAsia="方正仿宋_GBK" w:cs="方正仿宋_GBK"/>
          <w:snapToGrid/>
          <w:color w:val="auto"/>
          <w:kern w:val="0"/>
          <w:sz w:val="32"/>
          <w:szCs w:val="32"/>
          <w:lang w:val="zh-CN" w:eastAsia="zh-CN" w:bidi="zh-CN"/>
        </w:rPr>
        <w:t>年初预算为</w:t>
      </w:r>
      <w:r>
        <w:rPr>
          <w:rFonts w:hint="eastAsia" w:ascii="方正仿宋_GBK" w:hAnsi="方正仿宋_GBK" w:eastAsia="方正仿宋_GBK" w:cs="方正仿宋_GBK"/>
          <w:snapToGrid/>
          <w:color w:val="auto"/>
          <w:kern w:val="0"/>
          <w:sz w:val="32"/>
          <w:szCs w:val="32"/>
          <w:lang w:val="en-US" w:eastAsia="zh-CN" w:bidi="zh-CN"/>
        </w:rPr>
        <w:t>349.45</w:t>
      </w:r>
      <w:r>
        <w:rPr>
          <w:rFonts w:hint="eastAsia" w:ascii="方正仿宋_GBK" w:hAnsi="方正仿宋_GBK" w:eastAsia="方正仿宋_GBK" w:cs="方正仿宋_GBK"/>
          <w:snapToGrid/>
          <w:color w:val="auto"/>
          <w:kern w:val="0"/>
          <w:sz w:val="32"/>
          <w:szCs w:val="32"/>
          <w:lang w:val="zh-CN" w:eastAsia="zh-CN" w:bidi="zh-CN"/>
        </w:rPr>
        <w:t>万元，年中预算调整</w:t>
      </w:r>
      <w:r>
        <w:rPr>
          <w:rFonts w:hint="eastAsia" w:ascii="方正仿宋_GBK" w:hAnsi="方正仿宋_GBK" w:eastAsia="方正仿宋_GBK" w:cs="方正仿宋_GBK"/>
          <w:snapToGrid/>
          <w:color w:val="auto"/>
          <w:kern w:val="0"/>
          <w:sz w:val="32"/>
          <w:szCs w:val="32"/>
          <w:lang w:val="en-US" w:eastAsia="zh-CN" w:bidi="zh-CN"/>
        </w:rPr>
        <w:t>140万元，</w:t>
      </w:r>
      <w:r>
        <w:rPr>
          <w:rFonts w:hint="eastAsia" w:ascii="方正仿宋_GBK" w:hAnsi="方正仿宋_GBK" w:eastAsia="方正仿宋_GBK" w:cs="方正仿宋_GBK"/>
          <w:snapToGrid/>
          <w:color w:val="auto"/>
          <w:kern w:val="0"/>
          <w:sz w:val="32"/>
          <w:szCs w:val="32"/>
          <w:lang w:val="zh-CN" w:eastAsia="zh-CN" w:bidi="zh-CN"/>
        </w:rPr>
        <w:t>支出决算为</w:t>
      </w:r>
      <w:r>
        <w:rPr>
          <w:rFonts w:hint="eastAsia" w:ascii="方正仿宋_GBK" w:hAnsi="方正仿宋_GBK" w:eastAsia="方正仿宋_GBK" w:cs="方正仿宋_GBK"/>
          <w:snapToGrid/>
          <w:color w:val="auto"/>
          <w:kern w:val="0"/>
          <w:sz w:val="32"/>
          <w:szCs w:val="32"/>
          <w:lang w:val="en-US" w:eastAsia="zh-CN" w:bidi="zh-CN"/>
        </w:rPr>
        <w:t>343.2</w:t>
      </w:r>
      <w:r>
        <w:rPr>
          <w:rFonts w:hint="eastAsia" w:ascii="方正仿宋_GBK" w:hAnsi="方正仿宋_GBK" w:eastAsia="方正仿宋_GBK" w:cs="方正仿宋_GBK"/>
          <w:snapToGrid/>
          <w:color w:val="auto"/>
          <w:kern w:val="0"/>
          <w:sz w:val="32"/>
          <w:szCs w:val="32"/>
          <w:lang w:val="zh-CN" w:eastAsia="zh-CN" w:bidi="zh-CN"/>
        </w:rPr>
        <w:t>万元，</w:t>
      </w:r>
      <w:r>
        <w:rPr>
          <w:rFonts w:hint="eastAsia" w:ascii="Times New Roman" w:hAnsi="Times New Roman" w:eastAsia="方正仿宋_GBK" w:cs="Times New Roman"/>
          <w:b w:val="0"/>
          <w:bCs/>
          <w:color w:val="000000"/>
          <w:kern w:val="0"/>
          <w:sz w:val="32"/>
          <w:szCs w:val="32"/>
          <w:highlight w:val="none"/>
          <w:lang w:val="en-US" w:eastAsia="zh-CN" w:bidi="ar-SA"/>
        </w:rPr>
        <w:t>预算执行率为81.8%。</w:t>
      </w:r>
      <w:r>
        <w:rPr>
          <w:rFonts w:hint="default" w:ascii="Times New Roman" w:hAnsi="Times New Roman" w:eastAsia="方正仿宋_GBK" w:cs="Times New Roman"/>
          <w:color w:val="auto"/>
          <w:spacing w:val="6"/>
          <w:sz w:val="32"/>
          <w:szCs w:val="32"/>
          <w:highlight w:val="none"/>
        </w:rPr>
        <w:t>决算数小于预算数的主要原因是</w:t>
      </w:r>
      <w:r>
        <w:rPr>
          <w:rFonts w:hint="default" w:ascii="Times New Roman" w:hAnsi="Times New Roman" w:eastAsia="方正仿宋_GBK" w:cs="Times New Roman"/>
          <w:color w:val="auto"/>
          <w:spacing w:val="8"/>
          <w:sz w:val="32"/>
          <w:szCs w:val="32"/>
          <w:highlight w:val="none"/>
          <w:lang w:eastAsia="zh-CN"/>
        </w:rPr>
        <w:t>部分资金结转下年继续使用。</w:t>
      </w:r>
    </w:p>
    <w:p>
      <w:pPr>
        <w:keepNext w:val="0"/>
        <w:keepLines w:val="0"/>
        <w:pageBreakBefore w:val="0"/>
        <w:numPr>
          <w:ilvl w:val="0"/>
          <w:numId w:val="0"/>
        </w:numPr>
        <w:kinsoku/>
        <w:wordWrap/>
        <w:overflowPunct/>
        <w:topLinePunct w:val="0"/>
        <w:autoSpaceDE w:val="0"/>
        <w:autoSpaceDN w:val="0"/>
        <w:bidi w:val="0"/>
        <w:spacing w:before="119" w:line="262" w:lineRule="auto"/>
        <w:ind w:firstLine="674" w:firstLineChars="200"/>
        <w:jc w:val="both"/>
        <w:rPr>
          <w:rFonts w:hint="eastAsia" w:ascii="方正仿宋_GBK" w:hAnsi="方正仿宋_GBK" w:eastAsia="方正仿宋_GBK" w:cs="方正仿宋_GBK"/>
          <w:snapToGrid/>
          <w:color w:val="auto"/>
          <w:kern w:val="0"/>
          <w:sz w:val="32"/>
          <w:szCs w:val="32"/>
          <w:lang w:val="zh-CN" w:eastAsia="zh-CN" w:bidi="zh-CN"/>
        </w:rPr>
      </w:pPr>
      <w:r>
        <w:rPr>
          <w:rFonts w:hint="eastAsia" w:ascii="Times New Roman" w:hAnsi="Times New Roman" w:eastAsia="方正仿宋_GBK" w:cs="Times New Roman"/>
          <w:b/>
          <w:bCs/>
          <w:snapToGrid w:val="0"/>
          <w:color w:val="auto"/>
          <w:spacing w:val="8"/>
          <w:kern w:val="0"/>
          <w:sz w:val="32"/>
          <w:szCs w:val="32"/>
          <w:lang w:val="en-US" w:eastAsia="zh-CN" w:bidi="ar-SA"/>
        </w:rPr>
        <w:t>2、社会保障和就业支出（类）行政事业单位养老支出（款）机关事业单位职业年金缴费支出（项）。</w:t>
      </w:r>
      <w:r>
        <w:rPr>
          <w:rFonts w:hint="eastAsia" w:ascii="方正仿宋_GBK" w:hAnsi="方正仿宋_GBK" w:eastAsia="方正仿宋_GBK" w:cs="方正仿宋_GBK"/>
          <w:snapToGrid/>
          <w:color w:val="auto"/>
          <w:kern w:val="0"/>
          <w:sz w:val="32"/>
          <w:szCs w:val="32"/>
          <w:lang w:val="zh-CN" w:eastAsia="zh-CN" w:bidi="zh-CN"/>
        </w:rPr>
        <w:t>年初预算为</w:t>
      </w:r>
      <w:r>
        <w:rPr>
          <w:rFonts w:hint="eastAsia" w:ascii="方正仿宋_GBK" w:hAnsi="方正仿宋_GBK" w:eastAsia="方正仿宋_GBK" w:cs="方正仿宋_GBK"/>
          <w:snapToGrid/>
          <w:color w:val="auto"/>
          <w:kern w:val="0"/>
          <w:sz w:val="32"/>
          <w:szCs w:val="32"/>
          <w:lang w:val="en-US" w:eastAsia="zh-CN" w:bidi="zh-CN"/>
        </w:rPr>
        <w:t>210.88</w:t>
      </w:r>
      <w:r>
        <w:rPr>
          <w:rFonts w:hint="eastAsia" w:ascii="方正仿宋_GBK" w:hAnsi="方正仿宋_GBK" w:eastAsia="方正仿宋_GBK" w:cs="方正仿宋_GBK"/>
          <w:snapToGrid/>
          <w:color w:val="auto"/>
          <w:kern w:val="0"/>
          <w:sz w:val="32"/>
          <w:szCs w:val="32"/>
          <w:lang w:val="zh-CN" w:eastAsia="zh-CN" w:bidi="zh-CN"/>
        </w:rPr>
        <w:t>万元，年中预算调整</w:t>
      </w:r>
      <w:r>
        <w:rPr>
          <w:rFonts w:hint="eastAsia" w:ascii="方正仿宋_GBK" w:hAnsi="方正仿宋_GBK" w:eastAsia="方正仿宋_GBK" w:cs="方正仿宋_GBK"/>
          <w:snapToGrid/>
          <w:color w:val="auto"/>
          <w:kern w:val="0"/>
          <w:sz w:val="32"/>
          <w:szCs w:val="32"/>
          <w:lang w:val="en-US" w:eastAsia="zh-CN" w:bidi="zh-CN"/>
        </w:rPr>
        <w:t>70万元，</w:t>
      </w:r>
      <w:r>
        <w:rPr>
          <w:rFonts w:hint="eastAsia" w:ascii="方正仿宋_GBK" w:hAnsi="方正仿宋_GBK" w:eastAsia="方正仿宋_GBK" w:cs="方正仿宋_GBK"/>
          <w:snapToGrid/>
          <w:color w:val="auto"/>
          <w:kern w:val="0"/>
          <w:sz w:val="32"/>
          <w:szCs w:val="32"/>
          <w:lang w:val="zh-CN" w:eastAsia="zh-CN" w:bidi="zh-CN"/>
        </w:rPr>
        <w:t>支出决算为</w:t>
      </w:r>
      <w:r>
        <w:rPr>
          <w:rFonts w:hint="eastAsia" w:ascii="方正仿宋_GBK" w:hAnsi="方正仿宋_GBK" w:eastAsia="方正仿宋_GBK" w:cs="方正仿宋_GBK"/>
          <w:snapToGrid/>
          <w:color w:val="auto"/>
          <w:kern w:val="0"/>
          <w:sz w:val="32"/>
          <w:szCs w:val="32"/>
          <w:lang w:val="en-US" w:eastAsia="zh-CN" w:bidi="zh-CN"/>
        </w:rPr>
        <w:t>171.6</w:t>
      </w:r>
      <w:r>
        <w:rPr>
          <w:rFonts w:hint="eastAsia" w:ascii="方正仿宋_GBK" w:hAnsi="方正仿宋_GBK" w:eastAsia="方正仿宋_GBK" w:cs="方正仿宋_GBK"/>
          <w:snapToGrid/>
          <w:color w:val="auto"/>
          <w:kern w:val="0"/>
          <w:sz w:val="32"/>
          <w:szCs w:val="32"/>
          <w:lang w:val="zh-CN" w:eastAsia="zh-CN" w:bidi="zh-CN"/>
        </w:rPr>
        <w:t>万元，</w:t>
      </w:r>
      <w:r>
        <w:rPr>
          <w:rFonts w:hint="eastAsia" w:ascii="方正仿宋_GBK" w:hAnsi="方正仿宋_GBK" w:eastAsia="方正仿宋_GBK" w:cs="方正仿宋_GBK"/>
          <w:snapToGrid/>
          <w:color w:val="auto"/>
          <w:kern w:val="0"/>
          <w:sz w:val="32"/>
          <w:szCs w:val="32"/>
          <w:lang w:val="en-US" w:eastAsia="zh-CN" w:bidi="zh-CN"/>
        </w:rPr>
        <w:t>预算执行率为61.1%。</w:t>
      </w:r>
      <w:r>
        <w:rPr>
          <w:rFonts w:hint="default" w:ascii="方正仿宋_GBK" w:hAnsi="方正仿宋_GBK" w:eastAsia="方正仿宋_GBK" w:cs="方正仿宋_GBK"/>
          <w:snapToGrid/>
          <w:color w:val="auto"/>
          <w:kern w:val="0"/>
          <w:sz w:val="32"/>
          <w:szCs w:val="32"/>
          <w:lang w:val="zh-CN" w:eastAsia="zh-CN" w:bidi="zh-CN"/>
        </w:rPr>
        <w:t>决算数小于预算数的主要原因是部分资金结转下年继续使用。</w:t>
      </w:r>
    </w:p>
    <w:p>
      <w:pPr>
        <w:keepNext w:val="0"/>
        <w:keepLines w:val="0"/>
        <w:pageBreakBefore w:val="0"/>
        <w:kinsoku/>
        <w:wordWrap/>
        <w:overflowPunct/>
        <w:topLinePunct w:val="0"/>
        <w:autoSpaceDE w:val="0"/>
        <w:autoSpaceDN w:val="0"/>
        <w:bidi w:val="0"/>
        <w:spacing w:before="119" w:line="262" w:lineRule="auto"/>
        <w:ind w:left="20" w:firstLine="644"/>
        <w:jc w:val="both"/>
        <w:rPr>
          <w:rFonts w:hint="eastAsia" w:ascii="方正仿宋_GBK" w:hAnsi="方正仿宋_GBK" w:eastAsia="方正仿宋_GBK" w:cs="方正仿宋_GBK"/>
          <w:snapToGrid/>
          <w:color w:val="auto"/>
          <w:kern w:val="0"/>
          <w:sz w:val="32"/>
          <w:szCs w:val="32"/>
          <w:lang w:val="en-US" w:eastAsia="zh-CN" w:bidi="zh-CN"/>
        </w:rPr>
      </w:pPr>
      <w:r>
        <w:rPr>
          <w:rFonts w:hint="eastAsia" w:ascii="Times New Roman" w:hAnsi="Times New Roman" w:eastAsia="方正仿宋_GBK" w:cs="Times New Roman"/>
          <w:b/>
          <w:bCs/>
          <w:snapToGrid w:val="0"/>
          <w:color w:val="auto"/>
          <w:spacing w:val="8"/>
          <w:kern w:val="0"/>
          <w:sz w:val="32"/>
          <w:szCs w:val="32"/>
          <w:lang w:val="en-US" w:eastAsia="zh-CN" w:bidi="ar-SA"/>
        </w:rPr>
        <w:t>3、卫生健康支出（类）行政事业单位医疗（款）行政单位医疗支出（项）。</w:t>
      </w:r>
      <w:r>
        <w:rPr>
          <w:rFonts w:hint="eastAsia" w:ascii="方正仿宋_GBK" w:hAnsi="方正仿宋_GBK" w:eastAsia="方正仿宋_GBK" w:cs="方正仿宋_GBK"/>
          <w:snapToGrid/>
          <w:color w:val="auto"/>
          <w:kern w:val="0"/>
          <w:sz w:val="32"/>
          <w:szCs w:val="32"/>
          <w:lang w:val="en-US" w:eastAsia="zh-CN" w:bidi="zh-CN"/>
        </w:rPr>
        <w:t>年初预算为1908.81万元，支出决算为434.03万元，预算执行率为22.7%。</w:t>
      </w:r>
      <w:r>
        <w:rPr>
          <w:rFonts w:hint="default" w:ascii="方正仿宋_GBK" w:hAnsi="方正仿宋_GBK" w:eastAsia="方正仿宋_GBK" w:cs="方正仿宋_GBK"/>
          <w:snapToGrid/>
          <w:color w:val="auto"/>
          <w:kern w:val="0"/>
          <w:sz w:val="32"/>
          <w:szCs w:val="32"/>
          <w:lang w:val="zh-CN" w:eastAsia="zh-CN" w:bidi="zh-CN"/>
        </w:rPr>
        <w:t>决算数小于预算数的主要原因是部分资金结转下年继续使用。</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方正仿宋_GBK" w:hAnsi="方正仿宋_GBK" w:eastAsia="方正仿宋_GBK" w:cs="方正仿宋_GBK"/>
          <w:snapToGrid/>
          <w:color w:val="auto"/>
          <w:kern w:val="0"/>
          <w:sz w:val="32"/>
          <w:szCs w:val="32"/>
          <w:lang w:val="en-US" w:eastAsia="zh-CN" w:bidi="zh-CN"/>
        </w:rPr>
      </w:pPr>
      <w:r>
        <w:rPr>
          <w:rFonts w:hint="eastAsia" w:ascii="Times New Roman" w:hAnsi="Times New Roman" w:eastAsia="方正仿宋_GBK" w:cs="Times New Roman"/>
          <w:b/>
          <w:bCs/>
          <w:snapToGrid w:val="0"/>
          <w:color w:val="auto"/>
          <w:spacing w:val="8"/>
          <w:kern w:val="0"/>
          <w:sz w:val="32"/>
          <w:szCs w:val="32"/>
          <w:lang w:val="en-US" w:eastAsia="zh-CN" w:bidi="ar-SA"/>
        </w:rPr>
        <w:t>4、卫生健康支出（类）行政事业单位医疗（款）其他行政事业单位医疗支出（项）。</w:t>
      </w:r>
      <w:r>
        <w:rPr>
          <w:rFonts w:hint="eastAsia" w:ascii="方正仿宋_GBK" w:hAnsi="方正仿宋_GBK" w:eastAsia="方正仿宋_GBK" w:cs="方正仿宋_GBK"/>
          <w:snapToGrid/>
          <w:color w:val="auto"/>
          <w:kern w:val="0"/>
          <w:sz w:val="32"/>
          <w:szCs w:val="32"/>
          <w:lang w:val="en-US" w:eastAsia="zh-CN" w:bidi="zh-CN"/>
        </w:rPr>
        <w:t>年初预算为67.9万元，支出决算为46.94万元，预算执行率为69.1%。</w:t>
      </w:r>
      <w:r>
        <w:rPr>
          <w:rFonts w:hint="default" w:ascii="方正仿宋_GBK" w:hAnsi="方正仿宋_GBK" w:eastAsia="方正仿宋_GBK" w:cs="方正仿宋_GBK"/>
          <w:snapToGrid/>
          <w:color w:val="auto"/>
          <w:kern w:val="0"/>
          <w:sz w:val="32"/>
          <w:szCs w:val="32"/>
          <w:lang w:val="en-US" w:eastAsia="zh-CN" w:bidi="zh-CN"/>
        </w:rPr>
        <w:t>决算数小于预算数的主要原因是医疗费的支出具有一定的不确定性和不可预见性，需根据队伍人员就医需要进行开支。</w:t>
      </w:r>
    </w:p>
    <w:p>
      <w:pPr>
        <w:keepNext w:val="0"/>
        <w:keepLines w:val="0"/>
        <w:pageBreakBefore w:val="0"/>
        <w:widowControl/>
        <w:kinsoku/>
        <w:wordWrap/>
        <w:overflowPunct/>
        <w:topLinePunct w:val="0"/>
        <w:autoSpaceDE w:val="0"/>
        <w:autoSpaceDN w:val="0"/>
        <w:bidi w:val="0"/>
        <w:adjustRightInd w:val="0"/>
        <w:snapToGrid w:val="0"/>
        <w:spacing w:before="119" w:line="262" w:lineRule="auto"/>
        <w:ind w:left="8" w:leftChars="4" w:right="0" w:firstLine="646"/>
        <w:jc w:val="both"/>
        <w:textAlignment w:val="baseline"/>
        <w:rPr>
          <w:rFonts w:hint="eastAsia" w:ascii="Times New Roman" w:hAnsi="Times New Roman" w:eastAsia="方正仿宋_GBK" w:cs="Times New Roman"/>
          <w:b w:val="0"/>
          <w:bCs/>
          <w:color w:val="000000"/>
          <w:kern w:val="0"/>
          <w:sz w:val="32"/>
          <w:szCs w:val="32"/>
          <w:highlight w:val="none"/>
          <w:lang w:val="en-US" w:eastAsia="zh-CN" w:bidi="ar-SA"/>
        </w:rPr>
      </w:pPr>
      <w:r>
        <w:rPr>
          <w:rFonts w:hint="eastAsia" w:ascii="Times New Roman" w:hAnsi="Times New Roman" w:eastAsia="方正仿宋_GBK" w:cs="Times New Roman"/>
          <w:b/>
          <w:bCs/>
          <w:snapToGrid w:val="0"/>
          <w:color w:val="auto"/>
          <w:spacing w:val="8"/>
          <w:kern w:val="0"/>
          <w:sz w:val="32"/>
          <w:szCs w:val="32"/>
          <w:lang w:val="en-US" w:eastAsia="zh-CN" w:bidi="ar-SA"/>
        </w:rPr>
        <w:t>5、住房保障（类）住房改革（款）住房公积金（项）。</w:t>
      </w:r>
      <w:r>
        <w:rPr>
          <w:rFonts w:hint="eastAsia" w:ascii="方正仿宋_GBK" w:hAnsi="方正仿宋_GBK" w:eastAsia="方正仿宋_GBK" w:cs="方正仿宋_GBK"/>
          <w:snapToGrid/>
          <w:color w:val="auto"/>
          <w:kern w:val="0"/>
          <w:sz w:val="32"/>
          <w:szCs w:val="32"/>
          <w:lang w:val="en-US" w:eastAsia="zh-CN" w:bidi="zh-CN"/>
        </w:rPr>
        <w:t>年初预算为645.88万元，支出决算为610.96万元，预算执行率为94.6%。</w:t>
      </w:r>
    </w:p>
    <w:p>
      <w:pPr>
        <w:keepNext w:val="0"/>
        <w:keepLines w:val="0"/>
        <w:pageBreakBefore w:val="0"/>
        <w:widowControl/>
        <w:kinsoku/>
        <w:wordWrap/>
        <w:overflowPunct/>
        <w:topLinePunct w:val="0"/>
        <w:autoSpaceDE w:val="0"/>
        <w:autoSpaceDN w:val="0"/>
        <w:bidi w:val="0"/>
        <w:adjustRightInd w:val="0"/>
        <w:snapToGrid w:val="0"/>
        <w:spacing w:before="119" w:line="262" w:lineRule="auto"/>
        <w:ind w:left="8" w:leftChars="4" w:right="0" w:firstLine="646"/>
        <w:jc w:val="both"/>
        <w:textAlignment w:val="baseline"/>
        <w:rPr>
          <w:rFonts w:hint="eastAsia" w:ascii="方正仿宋_GBK" w:hAnsi="方正仿宋_GBK" w:eastAsia="方正仿宋_GBK" w:cs="方正仿宋_GBK"/>
          <w:snapToGrid/>
          <w:color w:val="auto"/>
          <w:kern w:val="0"/>
          <w:sz w:val="32"/>
          <w:szCs w:val="32"/>
          <w:highlight w:val="none"/>
          <w:lang w:val="en-US" w:eastAsia="zh-CN" w:bidi="zh-CN"/>
        </w:rPr>
      </w:pPr>
      <w:r>
        <w:rPr>
          <w:rFonts w:hint="eastAsia" w:ascii="Times New Roman" w:hAnsi="Times New Roman" w:eastAsia="方正仿宋_GBK" w:cs="Times New Roman"/>
          <w:b/>
          <w:bCs/>
          <w:snapToGrid w:val="0"/>
          <w:color w:val="auto"/>
          <w:spacing w:val="8"/>
          <w:kern w:val="0"/>
          <w:sz w:val="32"/>
          <w:szCs w:val="32"/>
          <w:lang w:val="en-US" w:eastAsia="zh-CN" w:bidi="ar-SA"/>
        </w:rPr>
        <w:t>6.灾害防治及应急管理（类）消防事务（款）行政运行（项）。</w:t>
      </w:r>
      <w:r>
        <w:rPr>
          <w:rFonts w:hint="eastAsia" w:ascii="方正仿宋_GBK" w:hAnsi="方正仿宋_GBK" w:eastAsia="方正仿宋_GBK" w:cs="方正仿宋_GBK"/>
          <w:snapToGrid/>
          <w:color w:val="auto"/>
          <w:kern w:val="0"/>
          <w:sz w:val="32"/>
          <w:szCs w:val="32"/>
          <w:lang w:val="en-US" w:eastAsia="zh-CN" w:bidi="zh-CN"/>
        </w:rPr>
        <w:t>年初预算为7086.51万元，年中预算调整</w:t>
      </w:r>
      <w:r>
        <w:rPr>
          <w:rFonts w:hint="default" w:ascii="方正仿宋_GBK" w:hAnsi="方正仿宋_GBK" w:eastAsia="方正仿宋_GBK" w:cs="方正仿宋_GBK"/>
          <w:snapToGrid/>
          <w:color w:val="auto"/>
          <w:kern w:val="0"/>
          <w:sz w:val="32"/>
          <w:szCs w:val="32"/>
          <w:lang w:val="en" w:eastAsia="zh-CN" w:bidi="zh-CN"/>
        </w:rPr>
        <w:t>247.15</w:t>
      </w:r>
      <w:r>
        <w:rPr>
          <w:rFonts w:hint="eastAsia" w:ascii="方正仿宋_GBK" w:hAnsi="方正仿宋_GBK" w:eastAsia="方正仿宋_GBK" w:cs="方正仿宋_GBK"/>
          <w:snapToGrid/>
          <w:color w:val="auto"/>
          <w:kern w:val="0"/>
          <w:sz w:val="32"/>
          <w:szCs w:val="32"/>
          <w:lang w:val="en-US" w:eastAsia="zh-CN" w:bidi="zh-CN"/>
        </w:rPr>
        <w:t>万元，支出决算为6014.29万元，预算执行率为82%。</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before="119" w:line="262" w:lineRule="auto"/>
        <w:ind w:left="8" w:leftChars="4" w:right="0" w:rightChars="0" w:firstLine="646"/>
        <w:jc w:val="both"/>
        <w:textAlignment w:val="baseline"/>
        <w:rPr>
          <w:rFonts w:hint="eastAsia" w:ascii="方正仿宋_GBK" w:hAnsi="方正仿宋_GBK" w:eastAsia="方正仿宋_GBK" w:cs="方正仿宋_GBK"/>
          <w:snapToGrid/>
          <w:color w:val="auto"/>
          <w:kern w:val="0"/>
          <w:sz w:val="32"/>
          <w:szCs w:val="32"/>
          <w:lang w:val="en-US" w:eastAsia="zh-CN" w:bidi="zh-CN"/>
        </w:rPr>
      </w:pPr>
      <w:r>
        <w:rPr>
          <w:rFonts w:hint="eastAsia" w:ascii="Times New Roman" w:hAnsi="Times New Roman" w:eastAsia="方正仿宋_GBK" w:cs="Times New Roman"/>
          <w:b/>
          <w:bCs/>
          <w:snapToGrid w:val="0"/>
          <w:color w:val="auto"/>
          <w:spacing w:val="8"/>
          <w:kern w:val="0"/>
          <w:sz w:val="32"/>
          <w:szCs w:val="32"/>
          <w:lang w:val="en-US" w:eastAsia="zh-CN" w:bidi="ar-SA"/>
        </w:rPr>
        <w:t>7.灾害防治及应急管理（类）消防事务（款）消防应急救援（项）。</w:t>
      </w:r>
      <w:r>
        <w:rPr>
          <w:rFonts w:hint="eastAsia" w:ascii="方正仿宋_GBK" w:hAnsi="方正仿宋_GBK" w:eastAsia="方正仿宋_GBK" w:cs="方正仿宋_GBK"/>
          <w:snapToGrid/>
          <w:color w:val="auto"/>
          <w:kern w:val="0"/>
          <w:sz w:val="32"/>
          <w:szCs w:val="32"/>
          <w:lang w:val="en-US" w:eastAsia="zh-CN" w:bidi="zh-CN"/>
        </w:rPr>
        <w:t>年初预算为115.68万元，支出决算为575.78万元，决算数大于年初预算数的主要原因是集体退役费项目（纯结转项目）未纳入年初预算，而实际支出按规定使用了以前年度集体退役费结转资金。</w:t>
      </w:r>
    </w:p>
    <w:p>
      <w:pPr>
        <w:pStyle w:val="2"/>
        <w:keepNext w:val="0"/>
        <w:keepLines w:val="0"/>
        <w:pageBreakBefore w:val="0"/>
        <w:widowControl/>
        <w:kinsoku w:val="0"/>
        <w:wordWrap/>
        <w:overflowPunct/>
        <w:topLinePunct w:val="0"/>
        <w:autoSpaceDE w:val="0"/>
        <w:autoSpaceDN w:val="0"/>
        <w:bidi w:val="0"/>
        <w:adjustRightInd w:val="0"/>
        <w:snapToGrid w:val="0"/>
        <w:spacing w:line="264" w:lineRule="auto"/>
        <w:textAlignment w:val="baseline"/>
        <w:rPr>
          <w:rFonts w:hint="eastAsia" w:ascii="方正仿宋_GBK" w:hAnsi="方正仿宋_GBK" w:eastAsia="方正仿宋_GBK" w:cs="方正仿宋_GBK"/>
          <w:snapToGrid/>
          <w:color w:val="auto"/>
          <w:kern w:val="0"/>
          <w:sz w:val="32"/>
          <w:szCs w:val="32"/>
          <w:lang w:val="en-US" w:eastAsia="zh-CN" w:bidi="zh-CN"/>
        </w:rPr>
      </w:pPr>
      <w:r>
        <w:rPr>
          <w:rFonts w:hint="eastAsia" w:ascii="Times New Roman" w:hAnsi="Times New Roman" w:eastAsia="方正仿宋_GBK" w:cs="Times New Roman"/>
          <w:b/>
          <w:bCs/>
          <w:snapToGrid w:val="0"/>
          <w:color w:val="auto"/>
          <w:spacing w:val="8"/>
          <w:kern w:val="0"/>
          <w:sz w:val="32"/>
          <w:szCs w:val="32"/>
          <w:lang w:val="en-US" w:eastAsia="zh-CN" w:bidi="ar-SA"/>
        </w:rPr>
        <w:t>8</w:t>
      </w:r>
      <w:r>
        <w:rPr>
          <w:rFonts w:hint="default" w:ascii="Times New Roman" w:hAnsi="Times New Roman" w:eastAsia="方正仿宋_GBK" w:cs="Times New Roman"/>
          <w:b/>
          <w:bCs/>
          <w:snapToGrid w:val="0"/>
          <w:color w:val="auto"/>
          <w:spacing w:val="8"/>
          <w:kern w:val="0"/>
          <w:sz w:val="32"/>
          <w:szCs w:val="32"/>
          <w:lang w:val="en-US" w:eastAsia="zh-CN" w:bidi="ar-SA"/>
        </w:rPr>
        <w:t>.灾害防治及应急管理支出（类）消防救援事务（款）其他消防救援事务支出（项）。</w:t>
      </w:r>
      <w:r>
        <w:rPr>
          <w:rFonts w:hint="default" w:ascii="方正仿宋_GBK" w:hAnsi="方正仿宋_GBK" w:eastAsia="方正仿宋_GBK" w:cs="方正仿宋_GBK"/>
          <w:snapToGrid/>
          <w:color w:val="auto"/>
          <w:kern w:val="0"/>
          <w:sz w:val="32"/>
          <w:szCs w:val="32"/>
          <w:lang w:val="en-US" w:eastAsia="zh-CN" w:bidi="zh-CN"/>
        </w:rPr>
        <w:t>年初预算为</w:t>
      </w:r>
      <w:r>
        <w:rPr>
          <w:rFonts w:hint="eastAsia" w:ascii="方正仿宋_GBK" w:hAnsi="方正仿宋_GBK" w:eastAsia="方正仿宋_GBK" w:cs="方正仿宋_GBK"/>
          <w:snapToGrid/>
          <w:color w:val="auto"/>
          <w:kern w:val="0"/>
          <w:sz w:val="32"/>
          <w:szCs w:val="32"/>
          <w:lang w:val="en-US" w:eastAsia="zh-CN" w:bidi="zh-CN"/>
        </w:rPr>
        <w:t>0</w:t>
      </w:r>
      <w:r>
        <w:rPr>
          <w:rFonts w:hint="default" w:ascii="方正仿宋_GBK" w:hAnsi="方正仿宋_GBK" w:eastAsia="方正仿宋_GBK" w:cs="方正仿宋_GBK"/>
          <w:snapToGrid/>
          <w:color w:val="auto"/>
          <w:kern w:val="0"/>
          <w:sz w:val="32"/>
          <w:szCs w:val="32"/>
          <w:lang w:val="en-US" w:eastAsia="zh-CN" w:bidi="zh-CN"/>
        </w:rPr>
        <w:t>万元，</w:t>
      </w:r>
      <w:r>
        <w:rPr>
          <w:rFonts w:hint="eastAsia" w:ascii="方正仿宋_GBK" w:hAnsi="方正仿宋_GBK" w:eastAsia="方正仿宋_GBK" w:cs="方正仿宋_GBK"/>
          <w:snapToGrid/>
          <w:color w:val="auto"/>
          <w:kern w:val="0"/>
          <w:sz w:val="32"/>
          <w:szCs w:val="32"/>
          <w:lang w:val="en-US" w:eastAsia="zh-CN" w:bidi="zh-CN"/>
        </w:rPr>
        <w:t>年中预算调整</w:t>
      </w:r>
      <w:r>
        <w:rPr>
          <w:rFonts w:hint="default" w:ascii="方正仿宋_GBK" w:hAnsi="方正仿宋_GBK" w:eastAsia="方正仿宋_GBK" w:cs="方正仿宋_GBK"/>
          <w:snapToGrid/>
          <w:color w:val="auto"/>
          <w:kern w:val="0"/>
          <w:sz w:val="32"/>
          <w:szCs w:val="32"/>
          <w:lang w:val="en" w:eastAsia="zh-CN" w:bidi="zh-CN"/>
        </w:rPr>
        <w:t>354.82</w:t>
      </w:r>
      <w:r>
        <w:rPr>
          <w:rFonts w:hint="eastAsia" w:ascii="方正仿宋_GBK" w:hAnsi="方正仿宋_GBK" w:eastAsia="方正仿宋_GBK" w:cs="方正仿宋_GBK"/>
          <w:snapToGrid/>
          <w:color w:val="auto"/>
          <w:kern w:val="0"/>
          <w:sz w:val="32"/>
          <w:szCs w:val="32"/>
          <w:lang w:val="en-US" w:eastAsia="zh-CN" w:bidi="zh-CN"/>
        </w:rPr>
        <w:t>万元，</w:t>
      </w:r>
      <w:r>
        <w:rPr>
          <w:rFonts w:hint="default" w:ascii="方正仿宋_GBK" w:hAnsi="方正仿宋_GBK" w:eastAsia="方正仿宋_GBK" w:cs="方正仿宋_GBK"/>
          <w:snapToGrid/>
          <w:color w:val="auto"/>
          <w:kern w:val="0"/>
          <w:sz w:val="32"/>
          <w:szCs w:val="32"/>
          <w:lang w:val="en-US" w:eastAsia="zh-CN" w:bidi="zh-CN"/>
        </w:rPr>
        <w:t>支出决算为</w:t>
      </w:r>
      <w:r>
        <w:rPr>
          <w:rFonts w:hint="eastAsia" w:ascii="方正仿宋_GBK" w:hAnsi="方正仿宋_GBK" w:eastAsia="方正仿宋_GBK" w:cs="方正仿宋_GBK"/>
          <w:snapToGrid/>
          <w:color w:val="auto"/>
          <w:kern w:val="0"/>
          <w:sz w:val="32"/>
          <w:szCs w:val="32"/>
          <w:lang w:val="en-US" w:eastAsia="zh-CN" w:bidi="zh-CN"/>
        </w:rPr>
        <w:t>326.33</w:t>
      </w:r>
      <w:r>
        <w:rPr>
          <w:rFonts w:hint="default" w:ascii="方正仿宋_GBK" w:hAnsi="方正仿宋_GBK" w:eastAsia="方正仿宋_GBK" w:cs="方正仿宋_GBK"/>
          <w:snapToGrid/>
          <w:color w:val="auto"/>
          <w:kern w:val="0"/>
          <w:sz w:val="32"/>
          <w:szCs w:val="32"/>
          <w:lang w:val="en-US" w:eastAsia="zh-CN" w:bidi="zh-CN"/>
        </w:rPr>
        <w:t>万元，完成</w:t>
      </w:r>
      <w:r>
        <w:rPr>
          <w:rFonts w:hint="eastAsia" w:ascii="方正仿宋_GBK" w:hAnsi="方正仿宋_GBK" w:eastAsia="方正仿宋_GBK" w:cs="方正仿宋_GBK"/>
          <w:snapToGrid/>
          <w:color w:val="auto"/>
          <w:kern w:val="0"/>
          <w:sz w:val="32"/>
          <w:szCs w:val="32"/>
          <w:lang w:val="en-US" w:eastAsia="zh-CN" w:bidi="zh-CN"/>
        </w:rPr>
        <w:t>全年</w:t>
      </w:r>
      <w:r>
        <w:rPr>
          <w:rFonts w:hint="default" w:ascii="方正仿宋_GBK" w:hAnsi="方正仿宋_GBK" w:eastAsia="方正仿宋_GBK" w:cs="方正仿宋_GBK"/>
          <w:snapToGrid/>
          <w:color w:val="auto"/>
          <w:kern w:val="0"/>
          <w:sz w:val="32"/>
          <w:szCs w:val="32"/>
          <w:lang w:val="en-US" w:eastAsia="zh-CN" w:bidi="zh-CN"/>
        </w:rPr>
        <w:t>预算的</w:t>
      </w:r>
      <w:r>
        <w:rPr>
          <w:rFonts w:hint="eastAsia" w:ascii="方正仿宋_GBK" w:hAnsi="方正仿宋_GBK" w:eastAsia="方正仿宋_GBK" w:cs="方正仿宋_GBK"/>
          <w:snapToGrid/>
          <w:color w:val="auto"/>
          <w:kern w:val="0"/>
          <w:sz w:val="32"/>
          <w:szCs w:val="32"/>
          <w:lang w:val="en-US" w:eastAsia="zh-CN" w:bidi="zh-CN"/>
        </w:rPr>
        <w:t>92</w:t>
      </w:r>
      <w:r>
        <w:rPr>
          <w:rFonts w:hint="default" w:ascii="方正仿宋_GBK" w:hAnsi="方正仿宋_GBK" w:eastAsia="方正仿宋_GBK" w:cs="方正仿宋_GBK"/>
          <w:snapToGrid/>
          <w:color w:val="auto"/>
          <w:kern w:val="0"/>
          <w:sz w:val="32"/>
          <w:szCs w:val="32"/>
          <w:lang w:val="en-US" w:eastAsia="zh-CN" w:bidi="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100" w:beforeAutospacing="1" w:line="241" w:lineRule="auto"/>
        <w:ind w:firstLine="616" w:firstLineChars="200"/>
        <w:jc w:val="both"/>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六、一般公共预算财政拨款基本支出决算情况说明</w:t>
      </w:r>
    </w:p>
    <w:p>
      <w:pPr>
        <w:keepNext w:val="0"/>
        <w:keepLines w:val="0"/>
        <w:pageBreakBefore w:val="0"/>
        <w:kinsoku/>
        <w:wordWrap/>
        <w:overflowPunct/>
        <w:topLinePunct w:val="0"/>
        <w:autoSpaceDE w:val="0"/>
        <w:autoSpaceDN w:val="0"/>
        <w:bidi w:val="0"/>
        <w:spacing w:before="90" w:line="268" w:lineRule="auto"/>
        <w:ind w:right="40" w:firstLine="640" w:firstLineChars="200"/>
        <w:jc w:val="both"/>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2025年度财政拨款基本支出7947.35万元，其中：人员经费7,799.44万元，主要包括基本工资、津贴补贴、机关事业单位基本养老保险缴费、职业年金缴费、职工基本医疗保险缴费、住房公积金、医疗费、其他工资福利支出、退职（役）费、抚恤金、其他对个人和家庭的补助；公用经费147.91万元，主要包括办公费、印刷费、水费、电费、物业管理费、维修（护）费、专用燃料费、公务用车运行维护费、其他商品和服务支出。</w:t>
      </w:r>
    </w:p>
    <w:p>
      <w:pPr>
        <w:keepNext w:val="0"/>
        <w:keepLines w:val="0"/>
        <w:pageBreakBefore w:val="0"/>
        <w:widowControl w:val="0"/>
        <w:numPr>
          <w:ilvl w:val="0"/>
          <w:numId w:val="4"/>
        </w:numPr>
        <w:kinsoku/>
        <w:wordWrap/>
        <w:overflowPunct/>
        <w:topLinePunct w:val="0"/>
        <w:autoSpaceDE w:val="0"/>
        <w:autoSpaceDN w:val="0"/>
        <w:bidi w:val="0"/>
        <w:adjustRightInd/>
        <w:snapToGrid/>
        <w:spacing w:before="100" w:beforeAutospacing="1" w:line="241" w:lineRule="auto"/>
        <w:ind w:left="17" w:leftChars="8" w:firstLine="620" w:firstLineChars="0"/>
        <w:jc w:val="both"/>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一般公共预算财政拨款“三公”经费支出决算情况说明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eastAsia" w:ascii="Times New Roman" w:hAnsi="Times New Roman" w:eastAsia="方正楷体_GBK" w:cs="Times New Roman"/>
          <w:b w:val="0"/>
          <w:bCs w:val="0"/>
          <w:color w:val="auto"/>
          <w:spacing w:val="8"/>
          <w:sz w:val="32"/>
          <w:szCs w:val="32"/>
          <w:highlight w:val="none"/>
          <w:lang w:val="zh-CN" w:eastAsia="zh-CN" w:bidi="ar-SA"/>
        </w:rPr>
      </w:pPr>
      <w:r>
        <w:rPr>
          <w:rFonts w:hint="eastAsia" w:ascii="Times New Roman" w:hAnsi="Times New Roman" w:eastAsia="方正楷体_GBK" w:cs="Times New Roman"/>
          <w:b w:val="0"/>
          <w:bCs w:val="0"/>
          <w:color w:val="auto"/>
          <w:spacing w:val="8"/>
          <w:sz w:val="32"/>
          <w:szCs w:val="32"/>
          <w:highlight w:val="none"/>
          <w:lang w:val="zh-CN" w:eastAsia="zh-CN" w:bidi="ar-SA"/>
        </w:rPr>
        <w:t>（一）“三公”经费财政拨款支出决算总体情况说明</w:t>
      </w:r>
    </w:p>
    <w:p>
      <w:pPr>
        <w:keepNext w:val="0"/>
        <w:keepLines w:val="0"/>
        <w:pageBreakBefore w:val="0"/>
        <w:kinsoku/>
        <w:wordWrap/>
        <w:overflowPunct/>
        <w:topLinePunct w:val="0"/>
        <w:autoSpaceDE w:val="0"/>
        <w:autoSpaceDN w:val="0"/>
        <w:bidi w:val="0"/>
        <w:spacing w:before="90" w:line="268" w:lineRule="auto"/>
        <w:ind w:right="40" w:firstLine="640" w:firstLineChars="200"/>
        <w:jc w:val="both"/>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2025年度财政拨款“三公”经费支出预算为17.09万元，支出决算为0万元。主要是认真贯彻落实中央“八项规定”精神和“过紧日子”要求，从严控制“三公”经费开支。</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eastAsia" w:ascii="Times New Roman" w:hAnsi="Times New Roman" w:eastAsia="方正楷体_GBK" w:cs="Times New Roman"/>
          <w:b w:val="0"/>
          <w:bCs w:val="0"/>
          <w:color w:val="auto"/>
          <w:spacing w:val="8"/>
          <w:sz w:val="32"/>
          <w:szCs w:val="32"/>
          <w:highlight w:val="none"/>
          <w:lang w:val="zh-CN" w:eastAsia="zh-CN" w:bidi="ar-SA"/>
        </w:rPr>
      </w:pPr>
      <w:r>
        <w:rPr>
          <w:rFonts w:hint="eastAsia" w:ascii="Times New Roman" w:hAnsi="Times New Roman" w:eastAsia="方正楷体_GBK" w:cs="Times New Roman"/>
          <w:b w:val="0"/>
          <w:bCs w:val="0"/>
          <w:color w:val="auto"/>
          <w:spacing w:val="8"/>
          <w:sz w:val="32"/>
          <w:szCs w:val="32"/>
          <w:highlight w:val="none"/>
          <w:lang w:val="zh-CN" w:eastAsia="zh-CN" w:bidi="ar-SA"/>
        </w:rPr>
        <w:t>（二）“三公”经费财政拨款支出决算具体情况说明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1.因公出国（境）费</w:t>
      </w:r>
      <w:r>
        <w:rPr>
          <w:rFonts w:hint="default" w:ascii="方正仿宋_GBK" w:hAnsi="方正仿宋_GBK" w:eastAsia="方正仿宋_GBK" w:cs="方正仿宋_GBK"/>
          <w:snapToGrid/>
          <w:kern w:val="0"/>
          <w:sz w:val="32"/>
          <w:szCs w:val="32"/>
          <w:lang w:val="en" w:eastAsia="zh-CN" w:bidi="zh-CN"/>
        </w:rPr>
        <w:t>:</w:t>
      </w:r>
      <w:r>
        <w:rPr>
          <w:rFonts w:hint="eastAsia" w:ascii="方正仿宋_GBK" w:hAnsi="方正仿宋_GBK" w:eastAsia="方正仿宋_GBK" w:cs="方正仿宋_GBK"/>
          <w:snapToGrid/>
          <w:kern w:val="0"/>
          <w:sz w:val="32"/>
          <w:szCs w:val="32"/>
          <w:lang w:val="en-US" w:eastAsia="zh-CN" w:bidi="zh-CN"/>
        </w:rPr>
        <w:t>预算为0万元，支出决算为0万元。根据工作实际需求未安排对外交流工作。</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2.公务用车购置及运行费</w:t>
      </w:r>
      <w:r>
        <w:rPr>
          <w:rFonts w:hint="default" w:ascii="方正仿宋_GBK" w:hAnsi="方正仿宋_GBK" w:eastAsia="方正仿宋_GBK" w:cs="方正仿宋_GBK"/>
          <w:snapToGrid/>
          <w:kern w:val="0"/>
          <w:sz w:val="32"/>
          <w:szCs w:val="32"/>
          <w:lang w:val="en" w:eastAsia="zh-CN" w:bidi="zh-CN"/>
        </w:rPr>
        <w:t>:</w:t>
      </w:r>
      <w:r>
        <w:rPr>
          <w:rFonts w:hint="eastAsia" w:ascii="方正仿宋_GBK" w:hAnsi="方正仿宋_GBK" w:eastAsia="方正仿宋_GBK" w:cs="方正仿宋_GBK"/>
          <w:snapToGrid/>
          <w:kern w:val="0"/>
          <w:sz w:val="32"/>
          <w:szCs w:val="32"/>
          <w:lang w:val="en-US" w:eastAsia="zh-CN" w:bidi="zh-CN"/>
        </w:rPr>
        <w:t>预算为17.09万元，支出决算为0万元，均为公务用车运行支出，主要是认真贯彻落实中央“八项规定”精神和“过紧日子”要求，从严控制“三公”经费开支。</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3.公务接待费</w:t>
      </w:r>
      <w:r>
        <w:rPr>
          <w:rFonts w:hint="default" w:ascii="方正仿宋_GBK" w:hAnsi="方正仿宋_GBK" w:eastAsia="方正仿宋_GBK" w:cs="方正仿宋_GBK"/>
          <w:snapToGrid/>
          <w:kern w:val="0"/>
          <w:sz w:val="32"/>
          <w:szCs w:val="32"/>
          <w:lang w:val="en" w:eastAsia="zh-CN" w:bidi="zh-CN"/>
        </w:rPr>
        <w:t>:</w:t>
      </w:r>
      <w:r>
        <w:rPr>
          <w:rFonts w:hint="eastAsia" w:ascii="方正仿宋_GBK" w:hAnsi="方正仿宋_GBK" w:eastAsia="方正仿宋_GBK" w:cs="方正仿宋_GBK"/>
          <w:snapToGrid/>
          <w:color w:val="auto"/>
          <w:kern w:val="0"/>
          <w:sz w:val="32"/>
          <w:szCs w:val="32"/>
          <w:lang w:val="en-US" w:eastAsia="zh-CN" w:bidi="zh-CN"/>
        </w:rPr>
        <w:t>预算为0万元，支出决算为0万元。</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八、一般公共预算财政拨款机关运行经费支出说明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方正仿宋_GBK" w:hAnsi="方正仿宋_GBK" w:eastAsia="方正仿宋_GBK" w:cs="方正仿宋_GBK"/>
          <w:snapToGrid/>
          <w:color w:val="auto"/>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郴州市消防救援支队本级2025年度机关运行经费支出147.91万元，</w:t>
      </w:r>
      <w:r>
        <w:rPr>
          <w:rFonts w:hint="eastAsia" w:ascii="方正仿宋_GBK" w:hAnsi="方正仿宋_GBK" w:eastAsia="方正仿宋_GBK" w:cs="方正仿宋_GBK"/>
          <w:snapToGrid/>
          <w:color w:val="auto"/>
          <w:kern w:val="0"/>
          <w:sz w:val="32"/>
          <w:szCs w:val="32"/>
          <w:lang w:val="en-US" w:eastAsia="zh-CN" w:bidi="zh-CN"/>
        </w:rPr>
        <w:t>较2024年减少0.09万元，下降0.06%。</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九、政府采购支出说明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snapToGrid/>
          <w:color w:val="auto"/>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郴州市消防救援支队本级2025年度政府采购支出总额1040.64万元，其中：政府采购货物支出707.77万元、政府采购工程支出271.1万元、政府采购服务支出61.77万元。授予中小企业合同金额978.87万元，占政府采购支出总额94.1%，其中：授予小微企业合同金额978.87万元，占中小企业合同金额的100%。</w:t>
      </w:r>
      <w:r>
        <w:rPr>
          <w:rFonts w:hint="default" w:ascii="方正仿宋_GBK" w:hAnsi="方正仿宋_GBK" w:eastAsia="方正仿宋_GBK" w:cs="方正仿宋_GBK"/>
          <w:snapToGrid/>
          <w:color w:val="auto"/>
          <w:kern w:val="0"/>
          <w:sz w:val="32"/>
          <w:szCs w:val="32"/>
          <w:lang w:val="en-US" w:eastAsia="zh-CN" w:bidi="zh-CN"/>
        </w:rPr>
        <w:t>货物采购授予中小企业合同金额占货物支出金额的</w:t>
      </w:r>
      <w:r>
        <w:rPr>
          <w:rFonts w:hint="eastAsia" w:ascii="方正仿宋_GBK" w:hAnsi="方正仿宋_GBK" w:eastAsia="方正仿宋_GBK" w:cs="方正仿宋_GBK"/>
          <w:snapToGrid/>
          <w:color w:val="auto"/>
          <w:kern w:val="0"/>
          <w:sz w:val="32"/>
          <w:szCs w:val="32"/>
          <w:lang w:val="en-US" w:eastAsia="zh-CN" w:bidi="zh-CN"/>
        </w:rPr>
        <w:t>100</w:t>
      </w:r>
      <w:r>
        <w:rPr>
          <w:rFonts w:hint="default" w:ascii="方正仿宋_GBK" w:hAnsi="方正仿宋_GBK" w:eastAsia="方正仿宋_GBK" w:cs="方正仿宋_GBK"/>
          <w:snapToGrid/>
          <w:color w:val="auto"/>
          <w:kern w:val="0"/>
          <w:sz w:val="32"/>
          <w:szCs w:val="32"/>
          <w:lang w:val="en-US" w:eastAsia="zh-CN" w:bidi="zh-CN"/>
        </w:rPr>
        <w:t>%，工程采购授予中小企业合同金额占工程支出金额的</w:t>
      </w:r>
      <w:r>
        <w:rPr>
          <w:rFonts w:hint="eastAsia" w:ascii="方正仿宋_GBK" w:hAnsi="方正仿宋_GBK" w:eastAsia="方正仿宋_GBK" w:cs="方正仿宋_GBK"/>
          <w:snapToGrid/>
          <w:color w:val="auto"/>
          <w:kern w:val="0"/>
          <w:sz w:val="32"/>
          <w:szCs w:val="32"/>
          <w:lang w:val="en-US" w:eastAsia="zh-CN" w:bidi="zh-CN"/>
        </w:rPr>
        <w:t>100</w:t>
      </w:r>
      <w:r>
        <w:rPr>
          <w:rFonts w:hint="default" w:ascii="方正仿宋_GBK" w:hAnsi="方正仿宋_GBK" w:eastAsia="方正仿宋_GBK" w:cs="方正仿宋_GBK"/>
          <w:snapToGrid/>
          <w:color w:val="auto"/>
          <w:kern w:val="0"/>
          <w:sz w:val="32"/>
          <w:szCs w:val="32"/>
          <w:lang w:val="en-US" w:eastAsia="zh-CN" w:bidi="zh-CN"/>
        </w:rPr>
        <w:t>%，服务采购授予中小企业合同金额占服务支出金额的</w:t>
      </w:r>
      <w:r>
        <w:rPr>
          <w:rFonts w:hint="eastAsia" w:ascii="方正仿宋_GBK" w:hAnsi="方正仿宋_GBK" w:eastAsia="方正仿宋_GBK" w:cs="方正仿宋_GBK"/>
          <w:snapToGrid/>
          <w:color w:val="auto"/>
          <w:kern w:val="0"/>
          <w:sz w:val="32"/>
          <w:szCs w:val="32"/>
          <w:lang w:val="en-US" w:eastAsia="zh-CN" w:bidi="zh-CN"/>
        </w:rPr>
        <w:t>0</w:t>
      </w:r>
      <w:r>
        <w:rPr>
          <w:rFonts w:hint="default" w:ascii="方正仿宋_GBK" w:hAnsi="方正仿宋_GBK" w:eastAsia="方正仿宋_GBK" w:cs="方正仿宋_GBK"/>
          <w:snapToGrid/>
          <w:color w:val="auto"/>
          <w:kern w:val="0"/>
          <w:sz w:val="32"/>
          <w:szCs w:val="32"/>
          <w:lang w:val="en-US" w:eastAsia="zh-CN" w:bidi="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spacing w:val="-6"/>
          <w:kern w:val="0"/>
          <w:sz w:val="32"/>
          <w:szCs w:val="32"/>
          <w:lang w:val="zh-CN" w:eastAsia="zh-CN" w:bidi="zh-CN"/>
        </w:rPr>
      </w:pPr>
      <w:r>
        <w:rPr>
          <w:rFonts w:hint="eastAsia" w:ascii="方正黑体_GBK" w:hAnsi="方正黑体_GBK" w:eastAsia="方正黑体_GBK" w:cs="方正黑体_GBK"/>
          <w:snapToGrid/>
          <w:spacing w:val="-6"/>
          <w:kern w:val="0"/>
          <w:sz w:val="32"/>
          <w:szCs w:val="32"/>
          <w:lang w:val="zh-CN" w:eastAsia="zh-CN" w:bidi="zh-CN"/>
        </w:rPr>
        <w:t>十、国有资产占用情况说明</w:t>
      </w:r>
    </w:p>
    <w:p>
      <w:pPr>
        <w:keepNext w:val="0"/>
        <w:keepLines w:val="0"/>
        <w:pageBreakBefore w:val="0"/>
        <w:widowControl/>
        <w:kinsoku/>
        <w:wordWrap/>
        <w:overflowPunct/>
        <w:topLinePunct/>
        <w:autoSpaceDE w:val="0"/>
        <w:autoSpaceDN/>
        <w:bidi w:val="0"/>
        <w:adjustRightInd w:val="0"/>
        <w:snapToGrid w:val="0"/>
        <w:spacing w:before="169" w:line="262" w:lineRule="auto"/>
        <w:ind w:right="125" w:firstLine="640" w:firstLineChars="200"/>
        <w:textAlignment w:val="baseline"/>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截至2025年12月31日，郴州市消防救援支队本级共有车辆53辆，其中：主要领导干部用车0辆、机要通信用车0辆、应急保障用车2辆、执法执勤用车9辆、特种专业技术用车42辆、离退休干部用车0辆、其他用车0辆；单价100万元以上设备5台（套）。</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100" w:beforeAutospacing="1" w:line="241" w:lineRule="auto"/>
        <w:ind w:firstLine="616" w:firstLineChars="200"/>
        <w:jc w:val="left"/>
        <w:textAlignment w:val="auto"/>
        <w:rPr>
          <w:rFonts w:hint="eastAsia" w:ascii="方正黑体_GBK" w:hAnsi="方正黑体_GBK" w:eastAsia="方正黑体_GBK" w:cs="方正黑体_GBK"/>
          <w:snapToGrid/>
          <w:color w:val="auto"/>
          <w:spacing w:val="-6"/>
          <w:kern w:val="0"/>
          <w:sz w:val="32"/>
          <w:szCs w:val="32"/>
          <w:lang w:val="zh-CN" w:eastAsia="zh-CN" w:bidi="zh-CN"/>
        </w:rPr>
      </w:pPr>
      <w:r>
        <w:rPr>
          <w:rFonts w:hint="eastAsia" w:ascii="方正黑体_GBK" w:hAnsi="方正黑体_GBK" w:eastAsia="方正黑体_GBK" w:cs="方正黑体_GBK"/>
          <w:snapToGrid/>
          <w:color w:val="auto"/>
          <w:spacing w:val="-6"/>
          <w:kern w:val="0"/>
          <w:sz w:val="32"/>
          <w:szCs w:val="32"/>
          <w:lang w:val="zh-CN" w:eastAsia="zh-CN" w:bidi="zh-CN"/>
        </w:rPr>
        <w:t>十一、</w:t>
      </w:r>
      <w:r>
        <w:rPr>
          <w:rFonts w:hint="default" w:ascii="Times New Roman" w:hAnsi="Times New Roman" w:eastAsia="方正黑体_GBK" w:cs="Times New Roman"/>
          <w:color w:val="auto"/>
          <w:spacing w:val="9"/>
          <w:sz w:val="32"/>
          <w:szCs w:val="32"/>
          <w:highlight w:val="none"/>
          <w:lang w:eastAsia="zh-CN"/>
        </w:rPr>
        <w:t>关于202</w:t>
      </w:r>
      <w:r>
        <w:rPr>
          <w:rFonts w:hint="default" w:ascii="Times New Roman" w:hAnsi="Times New Roman" w:eastAsia="方正黑体_GBK" w:cs="Times New Roman"/>
          <w:color w:val="auto"/>
          <w:spacing w:val="9"/>
          <w:sz w:val="32"/>
          <w:szCs w:val="32"/>
          <w:highlight w:val="none"/>
          <w:lang w:val="en-US" w:eastAsia="zh-CN"/>
        </w:rPr>
        <w:t>5</w:t>
      </w:r>
      <w:r>
        <w:rPr>
          <w:rFonts w:hint="default" w:ascii="Times New Roman" w:hAnsi="Times New Roman" w:eastAsia="方正黑体_GBK" w:cs="Times New Roman"/>
          <w:color w:val="auto"/>
          <w:spacing w:val="9"/>
          <w:sz w:val="32"/>
          <w:szCs w:val="32"/>
          <w:highlight w:val="none"/>
          <w:lang w:eastAsia="zh-CN"/>
        </w:rPr>
        <w:t>年度绩效评价情况的说明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eastAsia" w:ascii="Times New Roman" w:hAnsi="Times New Roman" w:eastAsia="方正楷体_GBK" w:cs="Times New Roman"/>
          <w:b w:val="0"/>
          <w:bCs w:val="0"/>
          <w:color w:val="auto"/>
          <w:spacing w:val="11"/>
          <w:sz w:val="32"/>
          <w:szCs w:val="32"/>
          <w:highlight w:val="none"/>
          <w:lang w:val="zh-CN" w:eastAsia="zh-CN" w:bidi="ar-SA"/>
        </w:rPr>
      </w:pPr>
      <w:r>
        <w:rPr>
          <w:rFonts w:hint="eastAsia" w:ascii="Times New Roman" w:hAnsi="Times New Roman" w:eastAsia="方正楷体_GBK" w:cs="Times New Roman"/>
          <w:b w:val="0"/>
          <w:bCs w:val="0"/>
          <w:color w:val="auto"/>
          <w:spacing w:val="11"/>
          <w:sz w:val="32"/>
          <w:szCs w:val="32"/>
          <w:highlight w:val="none"/>
          <w:lang w:val="zh-CN" w:eastAsia="zh-CN" w:bidi="ar-SA"/>
        </w:rPr>
        <w:t>（一）预算绩效管理工作开展情况</w:t>
      </w:r>
    </w:p>
    <w:p>
      <w:pPr>
        <w:spacing w:line="579" w:lineRule="exact"/>
        <w:ind w:firstLine="640" w:firstLineChars="200"/>
        <w:rPr>
          <w:rFonts w:hint="eastAsia" w:ascii="楷体" w:hAnsi="楷体" w:eastAsia="楷体" w:cs="楷体"/>
          <w:b/>
          <w:bCs/>
          <w:color w:val="auto"/>
          <w:spacing w:val="20"/>
          <w:sz w:val="31"/>
          <w:szCs w:val="31"/>
          <w:lang w:val="zh-CN" w:eastAsia="zh-CN"/>
        </w:rPr>
      </w:pPr>
      <w:r>
        <w:rPr>
          <w:rFonts w:hint="eastAsia" w:ascii="方正仿宋_GBK" w:hAnsi="方正仿宋_GBK" w:eastAsia="方正仿宋_GBK" w:cs="方正仿宋_GBK"/>
          <w:snapToGrid/>
          <w:color w:val="auto"/>
          <w:kern w:val="0"/>
          <w:sz w:val="32"/>
          <w:szCs w:val="32"/>
          <w:lang w:val="en-US" w:eastAsia="zh-CN" w:bidi="zh-CN"/>
        </w:rPr>
        <w:t>根据预算绩效管理要求，郴州市消防救援支队本级组织对2025年度一般公共预算项目支出全面开展绩效自评，其中，一级项目4个，二级项目7个，涉及资金4471.56万元，占一般公共预算项目支出总额的100%。</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eastAsia" w:ascii="Times New Roman" w:hAnsi="Times New Roman" w:eastAsia="方正楷体_GBK" w:cs="Times New Roman"/>
          <w:b w:val="0"/>
          <w:bCs w:val="0"/>
          <w:color w:val="auto"/>
          <w:spacing w:val="11"/>
          <w:sz w:val="32"/>
          <w:szCs w:val="32"/>
          <w:highlight w:val="none"/>
          <w:lang w:val="zh-CN" w:eastAsia="zh-CN" w:bidi="ar-SA"/>
        </w:rPr>
      </w:pPr>
      <w:r>
        <w:rPr>
          <w:rFonts w:hint="eastAsia" w:ascii="Times New Roman" w:hAnsi="Times New Roman" w:eastAsia="方正楷体_GBK" w:cs="Times New Roman"/>
          <w:b w:val="0"/>
          <w:bCs w:val="0"/>
          <w:color w:val="auto"/>
          <w:spacing w:val="11"/>
          <w:sz w:val="32"/>
          <w:szCs w:val="32"/>
          <w:highlight w:val="none"/>
          <w:lang w:val="zh-CN" w:eastAsia="zh-CN" w:bidi="ar-SA"/>
        </w:rPr>
        <w:t>（二）部门决算中项目绩效自评结果</w:t>
      </w:r>
    </w:p>
    <w:p>
      <w:pPr>
        <w:pStyle w:val="6"/>
        <w:spacing w:before="135" w:line="258" w:lineRule="auto"/>
        <w:ind w:right="0" w:firstLine="640" w:firstLineChars="200"/>
        <w:jc w:val="left"/>
        <w:rPr>
          <w:rFonts w:hint="eastAsia" w:ascii="方正仿宋_GBK" w:hAnsi="方正仿宋_GBK" w:eastAsia="方正仿宋_GBK" w:cs="方正仿宋_GBK"/>
          <w:snapToGrid/>
          <w:kern w:val="0"/>
          <w:sz w:val="32"/>
          <w:szCs w:val="32"/>
          <w:lang w:val="en-US" w:eastAsia="zh-CN" w:bidi="zh-CN"/>
        </w:rPr>
      </w:pPr>
      <w:r>
        <w:rPr>
          <w:rFonts w:hint="eastAsia" w:ascii="方正仿宋_GBK" w:hAnsi="方正仿宋_GBK" w:eastAsia="方正仿宋_GBK" w:cs="方正仿宋_GBK"/>
          <w:snapToGrid/>
          <w:kern w:val="0"/>
          <w:sz w:val="32"/>
          <w:szCs w:val="32"/>
          <w:lang w:val="en-US" w:eastAsia="zh-CN" w:bidi="zh-CN"/>
        </w:rPr>
        <w:t>1.服装护具及伙食补助项目</w:t>
      </w:r>
    </w:p>
    <w:p>
      <w:pPr>
        <w:spacing w:line="579" w:lineRule="exact"/>
        <w:ind w:firstLine="640" w:firstLineChars="200"/>
        <w:rPr>
          <w:rFonts w:hint="eastAsia" w:ascii="方正仿宋_GBK" w:hAnsi="方正仿宋_GBK" w:eastAsia="方正仿宋_GBK" w:cs="方正仿宋_GBK"/>
          <w:snapToGrid/>
          <w:color w:val="000000"/>
          <w:kern w:val="0"/>
          <w:sz w:val="32"/>
          <w:szCs w:val="32"/>
          <w:lang w:val="en-US" w:eastAsia="zh-CN" w:bidi="zh-CN"/>
        </w:rPr>
      </w:pPr>
      <w:r>
        <w:rPr>
          <w:rFonts w:hint="eastAsia" w:ascii="方正仿宋_GBK" w:hAnsi="方正仿宋_GBK" w:eastAsia="方正仿宋_GBK" w:cs="方正仿宋_GBK"/>
          <w:snapToGrid/>
          <w:color w:val="000000"/>
          <w:kern w:val="0"/>
          <w:sz w:val="32"/>
          <w:szCs w:val="32"/>
          <w:lang w:val="en-US" w:eastAsia="zh-CN" w:bidi="zh-CN"/>
        </w:rPr>
        <w:t>绩效自评综述：该类项目为各级按照现行伙食费保障标准和政策要求申报的伙食费专项资金。根据年初设定的绩效目标，项目自评得分均为90分。项目全年预算数172.68万元，执行数为150.42万元，完成预算的87.1%。项目绩效目标完成情况：完成一个项目90分，评价等级为“良”。项目绩效目标完成情况：依据人员实力和伙食费补助标准，保障了消防救援人员需要。</w:t>
      </w:r>
    </w:p>
    <w:p>
      <w:pPr>
        <w:spacing w:line="540" w:lineRule="exact"/>
        <w:ind w:firstLine="6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eastAsia="zh-CN"/>
        </w:rPr>
        <w:t>2.</w:t>
      </w:r>
      <w:r>
        <w:rPr>
          <w:rFonts w:ascii="Times New Roman" w:hAnsi="Times New Roman" w:eastAsia="方正仿宋_GBK"/>
          <w:color w:val="auto"/>
          <w:sz w:val="32"/>
          <w:szCs w:val="32"/>
          <w:highlight w:val="none"/>
        </w:rPr>
        <w:t>综合性消防救援专项项目</w:t>
      </w:r>
    </w:p>
    <w:p>
      <w:pPr>
        <w:spacing w:line="579" w:lineRule="exact"/>
        <w:ind w:firstLine="640" w:firstLineChars="200"/>
        <w:rPr>
          <w:rFonts w:ascii="Arial"/>
          <w:sz w:val="21"/>
        </w:rPr>
      </w:pPr>
      <w:r>
        <w:rPr>
          <w:rFonts w:hint="eastAsia" w:ascii="方正仿宋_GBK" w:hAnsi="方正仿宋_GBK" w:eastAsia="方正仿宋_GBK" w:cs="方正仿宋_GBK"/>
          <w:snapToGrid/>
          <w:color w:val="000000"/>
          <w:kern w:val="0"/>
          <w:sz w:val="32"/>
          <w:szCs w:val="32"/>
          <w:lang w:val="en-US" w:eastAsia="zh-CN" w:bidi="zh-CN"/>
        </w:rPr>
        <w:t>该类项目为申报政府专职消防员经费和各单位部分地方财政专项资金。2025年我支队共编报该类项目2个，全年预算1821.76万元，全年实际支出1647.58万元，预算执行率90.4%。</w:t>
      </w:r>
      <w:r>
        <w:rPr>
          <w:rFonts w:hint="eastAsia" w:ascii="方正仿宋_GBK" w:hAnsi="方正仿宋_GBK" w:eastAsia="方正仿宋_GBK" w:cs="方正仿宋_GBK"/>
          <w:b w:val="0"/>
          <w:bCs w:val="0"/>
          <w:sz w:val="32"/>
          <w:szCs w:val="32"/>
        </w:rPr>
        <w:t>项目有效保障了政府专职消防员经费等，完成</w:t>
      </w:r>
      <w:r>
        <w:rPr>
          <w:rFonts w:hint="eastAsia" w:ascii="方正仿宋_GBK" w:hAnsi="方正仿宋_GBK" w:eastAsia="方正仿宋_GBK" w:cs="方正仿宋_GBK"/>
          <w:b w:val="0"/>
          <w:bCs w:val="0"/>
          <w:sz w:val="32"/>
          <w:szCs w:val="32"/>
          <w:lang w:val="en-US" w:eastAsia="zh-CN"/>
        </w:rPr>
        <w:t>城乡</w:t>
      </w:r>
      <w:r>
        <w:rPr>
          <w:rFonts w:hint="eastAsia" w:ascii="方正仿宋_GBK" w:hAnsi="方正仿宋_GBK" w:eastAsia="方正仿宋_GBK" w:cs="方正仿宋_GBK"/>
          <w:b w:val="0"/>
          <w:bCs w:val="0"/>
          <w:sz w:val="32"/>
          <w:szCs w:val="32"/>
        </w:rPr>
        <w:t>火灾扑救、特种灾害救援和防火执勤</w:t>
      </w:r>
      <w:r>
        <w:rPr>
          <w:rFonts w:hint="eastAsia" w:ascii="方正仿宋_GBK" w:hAnsi="方正仿宋_GBK" w:eastAsia="方正仿宋_GBK" w:cs="方正仿宋_GBK"/>
          <w:b w:val="0"/>
          <w:bCs w:val="0"/>
          <w:sz w:val="32"/>
          <w:szCs w:val="32"/>
          <w:lang w:eastAsia="zh-CN"/>
        </w:rPr>
        <w:t>、</w:t>
      </w:r>
      <w:r>
        <w:rPr>
          <w:rFonts w:hint="eastAsia" w:ascii="方正仿宋_GBK" w:hAnsi="方正仿宋_GBK" w:eastAsia="方正仿宋_GBK" w:cs="方正仿宋_GBK"/>
          <w:b w:val="0"/>
          <w:bCs w:val="0"/>
          <w:sz w:val="32"/>
          <w:szCs w:val="32"/>
          <w:lang w:val="en-US" w:eastAsia="zh-CN"/>
        </w:rPr>
        <w:t>消防安保</w:t>
      </w:r>
      <w:r>
        <w:rPr>
          <w:rFonts w:hint="eastAsia" w:ascii="方正仿宋_GBK" w:hAnsi="方正仿宋_GBK" w:eastAsia="方正仿宋_GBK" w:cs="方正仿宋_GBK"/>
          <w:b w:val="0"/>
          <w:bCs w:val="0"/>
          <w:sz w:val="32"/>
          <w:szCs w:val="32"/>
        </w:rPr>
        <w:t>等任务。</w:t>
      </w:r>
    </w:p>
    <w:p>
      <w:pPr>
        <w:spacing w:line="540" w:lineRule="exact"/>
        <w:ind w:firstLine="6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eastAsia="zh-CN"/>
        </w:rPr>
        <w:t>3.</w:t>
      </w:r>
      <w:r>
        <w:rPr>
          <w:rFonts w:ascii="Times New Roman" w:hAnsi="Times New Roman" w:eastAsia="方正仿宋_GBK"/>
          <w:color w:val="auto"/>
          <w:sz w:val="32"/>
          <w:szCs w:val="32"/>
          <w:highlight w:val="none"/>
        </w:rPr>
        <w:t>基础设施建设项目</w:t>
      </w:r>
    </w:p>
    <w:p>
      <w:pPr>
        <w:spacing w:line="540" w:lineRule="exact"/>
        <w:ind w:firstLine="600"/>
        <w:rPr>
          <w:rFonts w:hint="eastAsia" w:eastAsia="方正仿宋_GBK"/>
          <w:color w:val="auto"/>
          <w:sz w:val="32"/>
          <w:szCs w:val="32"/>
          <w:lang w:eastAsia="zh-CN"/>
        </w:rPr>
      </w:pPr>
      <w:r>
        <w:rPr>
          <w:rFonts w:eastAsia="方正仿宋_GBK"/>
          <w:color w:val="auto"/>
          <w:sz w:val="32"/>
          <w:szCs w:val="32"/>
          <w:highlight w:val="none"/>
        </w:rPr>
        <w:t>该类项目主要是</w:t>
      </w:r>
      <w:r>
        <w:rPr>
          <w:rFonts w:eastAsia="方正仿宋_GBK"/>
          <w:color w:val="auto"/>
          <w:sz w:val="32"/>
          <w:szCs w:val="32"/>
        </w:rPr>
        <w:t>队</w:t>
      </w:r>
      <w:r>
        <w:rPr>
          <w:rFonts w:hint="eastAsia" w:eastAsia="方正仿宋_GBK"/>
          <w:color w:val="auto"/>
          <w:sz w:val="32"/>
          <w:szCs w:val="32"/>
          <w:lang w:eastAsia="zh-CN"/>
        </w:rPr>
        <w:t>站</w:t>
      </w:r>
      <w:r>
        <w:rPr>
          <w:rFonts w:eastAsia="方正仿宋_GBK"/>
          <w:color w:val="auto"/>
          <w:sz w:val="32"/>
          <w:szCs w:val="32"/>
        </w:rPr>
        <w:t>建设的实际情况。202</w:t>
      </w:r>
      <w:r>
        <w:rPr>
          <w:rFonts w:hint="eastAsia" w:eastAsia="方正仿宋_GBK"/>
          <w:color w:val="auto"/>
          <w:sz w:val="32"/>
          <w:szCs w:val="32"/>
          <w:lang w:val="en-US" w:eastAsia="zh-CN"/>
        </w:rPr>
        <w:t>5</w:t>
      </w:r>
      <w:r>
        <w:rPr>
          <w:rFonts w:eastAsia="方正仿宋_GBK"/>
          <w:color w:val="auto"/>
          <w:sz w:val="32"/>
          <w:szCs w:val="32"/>
        </w:rPr>
        <w:t>年</w:t>
      </w:r>
      <w:r>
        <w:rPr>
          <w:rFonts w:hint="eastAsia" w:eastAsia="方正仿宋_GBK"/>
          <w:color w:val="auto"/>
          <w:sz w:val="32"/>
          <w:szCs w:val="32"/>
          <w:lang w:eastAsia="zh-CN"/>
        </w:rPr>
        <w:t>我支队本级</w:t>
      </w:r>
      <w:r>
        <w:rPr>
          <w:rFonts w:eastAsia="方正仿宋_GBK"/>
          <w:color w:val="auto"/>
          <w:sz w:val="32"/>
          <w:szCs w:val="32"/>
        </w:rPr>
        <w:t>共编报该类项目</w:t>
      </w:r>
      <w:r>
        <w:rPr>
          <w:rFonts w:hint="eastAsia" w:eastAsia="方正仿宋_GBK"/>
          <w:color w:val="auto"/>
          <w:sz w:val="32"/>
          <w:szCs w:val="32"/>
          <w:lang w:val="en-US" w:eastAsia="zh-CN"/>
        </w:rPr>
        <w:t>3</w:t>
      </w:r>
      <w:r>
        <w:rPr>
          <w:rFonts w:eastAsia="方正仿宋_GBK"/>
          <w:color w:val="auto"/>
          <w:sz w:val="32"/>
          <w:szCs w:val="32"/>
        </w:rPr>
        <w:t>个，全年预算</w:t>
      </w:r>
      <w:r>
        <w:rPr>
          <w:rFonts w:hint="eastAsia" w:eastAsia="方正仿宋_GBK"/>
          <w:color w:val="auto"/>
          <w:sz w:val="32"/>
          <w:szCs w:val="32"/>
          <w:lang w:val="en-US" w:eastAsia="zh-CN"/>
        </w:rPr>
        <w:t>645.58</w:t>
      </w:r>
      <w:r>
        <w:rPr>
          <w:rFonts w:eastAsia="方正仿宋_GBK"/>
          <w:color w:val="auto"/>
          <w:sz w:val="32"/>
          <w:szCs w:val="32"/>
          <w:highlight w:val="none"/>
        </w:rPr>
        <w:t>万元，全年实际支出</w:t>
      </w:r>
      <w:r>
        <w:rPr>
          <w:rFonts w:hint="eastAsia" w:eastAsia="方正仿宋_GBK"/>
          <w:color w:val="auto"/>
          <w:sz w:val="32"/>
          <w:szCs w:val="32"/>
          <w:highlight w:val="none"/>
          <w:lang w:val="en-US" w:eastAsia="zh-CN"/>
        </w:rPr>
        <w:t>475.59</w:t>
      </w:r>
      <w:r>
        <w:rPr>
          <w:rFonts w:eastAsia="方正仿宋_GBK"/>
          <w:color w:val="auto"/>
          <w:sz w:val="32"/>
          <w:szCs w:val="32"/>
          <w:highlight w:val="none"/>
        </w:rPr>
        <w:t>万元，预算执行率</w:t>
      </w:r>
      <w:r>
        <w:rPr>
          <w:rFonts w:hint="eastAsia" w:eastAsia="方正仿宋_GBK"/>
          <w:color w:val="auto"/>
          <w:sz w:val="32"/>
          <w:szCs w:val="32"/>
          <w:highlight w:val="none"/>
          <w:lang w:val="en-US" w:eastAsia="zh-CN"/>
        </w:rPr>
        <w:t>73.7</w:t>
      </w:r>
      <w:r>
        <w:rPr>
          <w:rFonts w:eastAsia="方正仿宋_GBK"/>
          <w:color w:val="auto"/>
          <w:sz w:val="32"/>
          <w:szCs w:val="32"/>
          <w:highlight w:val="none"/>
        </w:rPr>
        <w:t>%</w:t>
      </w:r>
      <w:r>
        <w:rPr>
          <w:rFonts w:ascii="Times New Roman" w:hAnsi="Times New Roman" w:eastAsia="方正仿宋_GBK"/>
          <w:color w:val="auto"/>
          <w:sz w:val="32"/>
          <w:szCs w:val="32"/>
          <w:highlight w:val="none"/>
        </w:rPr>
        <w:t>。</w:t>
      </w:r>
      <w:r>
        <w:rPr>
          <w:rFonts w:hint="eastAsia" w:ascii="Arial" w:hAnsi="Arial" w:eastAsia="方正仿宋_GBK" w:cs="Arial"/>
          <w:color w:val="auto"/>
          <w:sz w:val="32"/>
          <w:szCs w:val="32"/>
          <w:lang w:eastAsia="zh-CN"/>
        </w:rPr>
        <w:t>项目绩效目标完成情况：</w:t>
      </w:r>
      <w:r>
        <w:rPr>
          <w:rFonts w:ascii="Arial" w:hAnsi="Arial" w:eastAsia="方正仿宋_GBK" w:cs="Arial"/>
          <w:sz w:val="32"/>
          <w:szCs w:val="32"/>
        </w:rPr>
        <w:t>9</w:t>
      </w:r>
      <w:r>
        <w:rPr>
          <w:rFonts w:eastAsia="方正仿宋_GBK"/>
          <w:sz w:val="32"/>
          <w:szCs w:val="32"/>
        </w:rPr>
        <w:t>0分以上项目</w:t>
      </w:r>
      <w:r>
        <w:rPr>
          <w:rFonts w:hint="eastAsia" w:eastAsia="方正仿宋_GBK"/>
          <w:sz w:val="32"/>
          <w:szCs w:val="32"/>
          <w:lang w:val="en-US" w:eastAsia="zh-CN"/>
        </w:rPr>
        <w:t>0</w:t>
      </w:r>
      <w:r>
        <w:rPr>
          <w:rFonts w:eastAsia="方正仿宋_GBK"/>
          <w:sz w:val="32"/>
          <w:szCs w:val="32"/>
        </w:rPr>
        <w:t>个，评价等级为“优”；80分</w:t>
      </w:r>
      <w:r>
        <w:rPr>
          <w:rFonts w:hint="eastAsia" w:eastAsia="方正仿宋_GBK"/>
          <w:sz w:val="32"/>
          <w:szCs w:val="32"/>
          <w:lang w:eastAsia="zh-CN"/>
        </w:rPr>
        <w:t>～</w:t>
      </w:r>
      <w:r>
        <w:rPr>
          <w:rFonts w:eastAsia="方正仿宋_GBK"/>
          <w:sz w:val="32"/>
          <w:szCs w:val="32"/>
        </w:rPr>
        <w:t>90分项目</w:t>
      </w:r>
      <w:r>
        <w:rPr>
          <w:rFonts w:hint="eastAsia" w:eastAsia="方正仿宋_GBK"/>
          <w:sz w:val="32"/>
          <w:szCs w:val="32"/>
          <w:lang w:val="en-US" w:eastAsia="zh-CN"/>
        </w:rPr>
        <w:t>1</w:t>
      </w:r>
      <w:r>
        <w:rPr>
          <w:rFonts w:eastAsia="方正仿宋_GBK"/>
          <w:sz w:val="32"/>
          <w:szCs w:val="32"/>
        </w:rPr>
        <w:t>个，评价等级为“良”；60分</w:t>
      </w:r>
      <w:r>
        <w:rPr>
          <w:rFonts w:hint="eastAsia" w:eastAsia="方正仿宋_GBK"/>
          <w:sz w:val="32"/>
          <w:szCs w:val="32"/>
          <w:lang w:eastAsia="zh-CN"/>
        </w:rPr>
        <w:t>～</w:t>
      </w:r>
      <w:r>
        <w:rPr>
          <w:rFonts w:eastAsia="方正仿宋_GBK"/>
          <w:sz w:val="32"/>
          <w:szCs w:val="32"/>
        </w:rPr>
        <w:t>80分项目</w:t>
      </w:r>
      <w:r>
        <w:rPr>
          <w:rFonts w:hint="eastAsia" w:eastAsia="方正仿宋_GBK"/>
          <w:sz w:val="32"/>
          <w:szCs w:val="32"/>
          <w:lang w:val="en-US" w:eastAsia="zh-CN"/>
        </w:rPr>
        <w:t>1</w:t>
      </w:r>
      <w:r>
        <w:rPr>
          <w:rFonts w:eastAsia="方正仿宋_GBK"/>
          <w:sz w:val="32"/>
          <w:szCs w:val="32"/>
        </w:rPr>
        <w:t>个，评</w:t>
      </w:r>
      <w:r>
        <w:rPr>
          <w:rFonts w:eastAsia="方正仿宋_GBK"/>
          <w:sz w:val="32"/>
          <w:szCs w:val="32"/>
          <w:highlight w:val="none"/>
        </w:rPr>
        <w:t>价等级为“中”</w:t>
      </w:r>
      <w:r>
        <w:rPr>
          <w:rFonts w:hint="eastAsia" w:ascii="Times New Roman" w:hAnsi="Times New Roman" w:eastAsia="方正仿宋_GBK"/>
          <w:color w:val="auto"/>
          <w:sz w:val="32"/>
          <w:szCs w:val="32"/>
          <w:highlight w:val="none"/>
          <w:lang w:eastAsia="zh-CN"/>
        </w:rPr>
        <w:t>。</w:t>
      </w:r>
    </w:p>
    <w:p>
      <w:pPr>
        <w:spacing w:line="540" w:lineRule="exact"/>
        <w:ind w:firstLine="600"/>
        <w:rPr>
          <w:rFonts w:ascii="Times New Roman" w:hAnsi="Times New Roman" w:eastAsia="方正仿宋_GBK"/>
          <w:color w:val="auto"/>
          <w:sz w:val="32"/>
          <w:szCs w:val="32"/>
          <w:highlight w:val="none"/>
        </w:rPr>
      </w:pPr>
      <w:r>
        <w:rPr>
          <w:rFonts w:hint="eastAsia" w:ascii="Times New Roman" w:hAnsi="Times New Roman" w:eastAsia="方正仿宋_GBK"/>
          <w:b w:val="0"/>
          <w:bCs w:val="0"/>
          <w:color w:val="auto"/>
          <w:sz w:val="32"/>
          <w:szCs w:val="32"/>
          <w:highlight w:val="none"/>
          <w:lang w:val="en-US" w:eastAsia="zh-CN"/>
        </w:rPr>
        <w:t xml:space="preserve"> 4.</w:t>
      </w:r>
      <w:r>
        <w:rPr>
          <w:rFonts w:ascii="Times New Roman" w:hAnsi="Times New Roman" w:eastAsia="方正仿宋_GBK"/>
          <w:b w:val="0"/>
          <w:bCs w:val="0"/>
          <w:color w:val="auto"/>
          <w:sz w:val="32"/>
          <w:szCs w:val="32"/>
          <w:highlight w:val="none"/>
        </w:rPr>
        <w:t>装备</w:t>
      </w:r>
      <w:r>
        <w:rPr>
          <w:rFonts w:ascii="Times New Roman" w:hAnsi="Times New Roman" w:eastAsia="方正仿宋_GBK"/>
          <w:color w:val="auto"/>
          <w:sz w:val="32"/>
          <w:szCs w:val="32"/>
          <w:highlight w:val="none"/>
        </w:rPr>
        <w:t>购置项目</w:t>
      </w:r>
    </w:p>
    <w:p>
      <w:pPr>
        <w:spacing w:line="579" w:lineRule="exact"/>
        <w:ind w:firstLine="640" w:firstLineChars="200"/>
        <w:outlineLvl w:val="9"/>
        <w:rPr>
          <w:rFonts w:eastAsia="方正仿宋_GBK"/>
          <w:b w:val="0"/>
          <w:bCs w:val="0"/>
          <w:sz w:val="32"/>
          <w:szCs w:val="32"/>
          <w:highlight w:val="none"/>
        </w:rPr>
      </w:pPr>
      <w:r>
        <w:rPr>
          <w:rFonts w:hint="eastAsia" w:ascii="方正仿宋_GBK" w:hAnsi="方正仿宋_GBK" w:eastAsia="方正仿宋_GBK" w:cs="方正仿宋_GBK"/>
          <w:b w:val="0"/>
          <w:bCs w:val="0"/>
          <w:sz w:val="32"/>
          <w:szCs w:val="32"/>
        </w:rPr>
        <w:t>该类项目主要是为提升全</w:t>
      </w:r>
      <w:r>
        <w:rPr>
          <w:rFonts w:hint="eastAsia" w:ascii="方正仿宋_GBK" w:hAnsi="方正仿宋_GBK" w:eastAsia="方正仿宋_GBK" w:cs="方正仿宋_GBK"/>
          <w:b w:val="0"/>
          <w:bCs w:val="0"/>
          <w:sz w:val="32"/>
          <w:szCs w:val="32"/>
          <w:lang w:eastAsia="zh-CN"/>
        </w:rPr>
        <w:t>市</w:t>
      </w:r>
      <w:r>
        <w:rPr>
          <w:rFonts w:hint="eastAsia" w:ascii="方正仿宋_GBK" w:hAnsi="方正仿宋_GBK" w:eastAsia="方正仿宋_GBK" w:cs="方正仿宋_GBK"/>
          <w:b w:val="0"/>
          <w:bCs w:val="0"/>
          <w:sz w:val="32"/>
          <w:szCs w:val="32"/>
        </w:rPr>
        <w:t>消防救援队伍装备现代化水平，根据装备建设规划及实际需求，用于购置消防车辆、抢险救援器材、个人防护装备等的专项资金</w:t>
      </w:r>
      <w:r>
        <w:rPr>
          <w:rFonts w:hint="eastAsia" w:ascii="方正仿宋_GBK" w:hAnsi="方正仿宋_GBK" w:eastAsia="方正仿宋_GBK" w:cs="方正仿宋_GBK"/>
          <w:b w:val="0"/>
          <w:bCs w:val="0"/>
          <w:sz w:val="32"/>
          <w:szCs w:val="32"/>
          <w:lang w:eastAsia="zh-CN"/>
        </w:rPr>
        <w:t>。</w:t>
      </w:r>
      <w:r>
        <w:rPr>
          <w:rFonts w:eastAsia="方正仿宋_GBK"/>
          <w:sz w:val="32"/>
          <w:szCs w:val="32"/>
        </w:rPr>
        <w:t>202</w:t>
      </w:r>
      <w:r>
        <w:rPr>
          <w:rFonts w:hint="eastAsia" w:eastAsia="方正仿宋_GBK"/>
          <w:sz w:val="32"/>
          <w:szCs w:val="32"/>
          <w:lang w:val="en-US" w:eastAsia="zh-CN"/>
        </w:rPr>
        <w:t>5</w:t>
      </w:r>
      <w:r>
        <w:rPr>
          <w:rFonts w:eastAsia="方正仿宋_GBK"/>
          <w:sz w:val="32"/>
          <w:szCs w:val="32"/>
        </w:rPr>
        <w:t>年</w:t>
      </w:r>
      <w:r>
        <w:rPr>
          <w:rFonts w:hint="eastAsia" w:eastAsia="方正仿宋_GBK"/>
          <w:sz w:val="32"/>
          <w:szCs w:val="32"/>
          <w:lang w:eastAsia="zh-CN"/>
        </w:rPr>
        <w:t>我支队本级</w:t>
      </w:r>
      <w:r>
        <w:rPr>
          <w:rFonts w:eastAsia="方正仿宋_GBK"/>
          <w:sz w:val="32"/>
          <w:szCs w:val="32"/>
        </w:rPr>
        <w:t>共编报该类项目1个，全年预算</w:t>
      </w:r>
      <w:r>
        <w:rPr>
          <w:rFonts w:hint="eastAsia" w:eastAsia="方正仿宋_GBK"/>
          <w:sz w:val="32"/>
          <w:szCs w:val="32"/>
          <w:lang w:val="en-US" w:eastAsia="zh-CN"/>
        </w:rPr>
        <w:t>1831.54</w:t>
      </w:r>
      <w:r>
        <w:rPr>
          <w:rFonts w:eastAsia="方正仿宋_GBK"/>
          <w:sz w:val="32"/>
          <w:szCs w:val="32"/>
        </w:rPr>
        <w:t>万元，全年实际支出</w:t>
      </w:r>
      <w:r>
        <w:rPr>
          <w:rFonts w:hint="eastAsia" w:eastAsia="方正仿宋_GBK"/>
          <w:sz w:val="32"/>
          <w:szCs w:val="32"/>
          <w:lang w:val="en-US" w:eastAsia="zh-CN"/>
        </w:rPr>
        <w:t>222.93</w:t>
      </w:r>
      <w:r>
        <w:rPr>
          <w:rFonts w:eastAsia="方正仿宋_GBK"/>
          <w:sz w:val="32"/>
          <w:szCs w:val="32"/>
        </w:rPr>
        <w:t>万元，预算执行率</w:t>
      </w:r>
      <w:r>
        <w:rPr>
          <w:rFonts w:hint="eastAsia" w:eastAsia="方正仿宋_GBK"/>
          <w:sz w:val="32"/>
          <w:szCs w:val="32"/>
          <w:lang w:val="en-US" w:eastAsia="zh-CN"/>
        </w:rPr>
        <w:t>12.2</w:t>
      </w:r>
      <w:r>
        <w:rPr>
          <w:rFonts w:eastAsia="方正仿宋_GBK"/>
          <w:sz w:val="32"/>
          <w:szCs w:val="32"/>
        </w:rPr>
        <w:t>%</w:t>
      </w:r>
      <w:r>
        <w:rPr>
          <w:rFonts w:hint="eastAsia" w:eastAsia="方正仿宋_GBK"/>
          <w:sz w:val="32"/>
          <w:szCs w:val="32"/>
          <w:lang w:eastAsia="zh-CN"/>
        </w:rPr>
        <w:t>。</w:t>
      </w:r>
      <w:r>
        <w:rPr>
          <w:rFonts w:hint="eastAsia" w:ascii="Times New Roman" w:hAnsi="Times New Roman" w:eastAsia="方正仿宋_GBK"/>
          <w:b w:val="0"/>
          <w:bCs w:val="0"/>
          <w:color w:val="auto"/>
          <w:sz w:val="32"/>
          <w:szCs w:val="32"/>
          <w:highlight w:val="none"/>
          <w:lang w:eastAsia="zh-CN"/>
        </w:rPr>
        <w:t>绩效目标完成情况：</w:t>
      </w:r>
      <w:r>
        <w:rPr>
          <w:rFonts w:eastAsia="方正仿宋_GBK"/>
          <w:sz w:val="32"/>
          <w:szCs w:val="32"/>
        </w:rPr>
        <w:t>项目数共1个，60分</w:t>
      </w:r>
      <w:r>
        <w:rPr>
          <w:rFonts w:hint="eastAsia" w:eastAsia="方正仿宋_GBK"/>
          <w:sz w:val="32"/>
          <w:szCs w:val="32"/>
          <w:lang w:eastAsia="zh-CN"/>
        </w:rPr>
        <w:t>～</w:t>
      </w:r>
      <w:r>
        <w:rPr>
          <w:rFonts w:eastAsia="方正仿宋_GBK"/>
          <w:sz w:val="32"/>
          <w:szCs w:val="32"/>
        </w:rPr>
        <w:t>80分项目</w:t>
      </w:r>
      <w:r>
        <w:rPr>
          <w:rFonts w:hint="eastAsia" w:eastAsia="方正仿宋_GBK"/>
          <w:sz w:val="32"/>
          <w:szCs w:val="32"/>
          <w:lang w:val="en-US" w:eastAsia="zh-CN"/>
        </w:rPr>
        <w:t>1</w:t>
      </w:r>
      <w:r>
        <w:rPr>
          <w:rFonts w:eastAsia="方正仿宋_GBK"/>
          <w:sz w:val="32"/>
          <w:szCs w:val="32"/>
        </w:rPr>
        <w:t>个，评价等级为“中”。</w:t>
      </w:r>
      <w:r>
        <w:rPr>
          <w:rFonts w:hint="eastAsia" w:ascii="Times New Roman" w:hAnsi="Times New Roman" w:eastAsia="方正仿宋_GBK"/>
          <w:b w:val="0"/>
          <w:bCs w:val="0"/>
          <w:color w:val="auto"/>
          <w:sz w:val="32"/>
          <w:szCs w:val="32"/>
          <w:highlight w:val="none"/>
          <w:lang w:val="en-US" w:eastAsia="zh-CN"/>
        </w:rPr>
        <w:t>存在的问题及原因：</w:t>
      </w:r>
      <w:r>
        <w:rPr>
          <w:rFonts w:hint="eastAsia" w:ascii="方正仿宋_GBK" w:hAnsi="方正仿宋_GBK" w:eastAsia="方正仿宋_GBK" w:cs="方正仿宋_GBK"/>
          <w:b w:val="0"/>
          <w:bCs w:val="0"/>
          <w:sz w:val="32"/>
          <w:szCs w:val="32"/>
          <w:highlight w:val="none"/>
        </w:rPr>
        <w:t>装备采购项目因技术参数复杂、供应商履约能力不足等导致多次流标或延迟交付</w:t>
      </w:r>
      <w:r>
        <w:rPr>
          <w:rFonts w:hint="eastAsia" w:ascii="方正仿宋_GBK" w:hAnsi="方正仿宋_GBK" w:eastAsia="方正仿宋_GBK" w:cs="方正仿宋_GBK"/>
          <w:b w:val="0"/>
          <w:bCs w:val="0"/>
          <w:sz w:val="32"/>
          <w:szCs w:val="32"/>
          <w:highlight w:val="none"/>
          <w:lang w:eastAsia="zh-CN"/>
        </w:rPr>
        <w:t>；</w:t>
      </w:r>
      <w:r>
        <w:rPr>
          <w:rFonts w:hint="eastAsia" w:ascii="方正仿宋_GBK" w:hAnsi="方正仿宋_GBK" w:eastAsia="方正仿宋_GBK" w:cs="方正仿宋_GBK"/>
          <w:b w:val="0"/>
          <w:bCs w:val="0"/>
          <w:color w:val="auto"/>
          <w:sz w:val="32"/>
          <w:szCs w:val="32"/>
          <w:highlight w:val="none"/>
          <w:lang w:val="en-US" w:eastAsia="zh-CN"/>
        </w:rPr>
        <w:t>预算编制还不够科学，导致采购结余资金较大</w:t>
      </w:r>
      <w:r>
        <w:rPr>
          <w:rFonts w:hint="eastAsia" w:ascii="方正仿宋_GBK" w:hAnsi="方正仿宋_GBK" w:eastAsia="方正仿宋_GBK" w:cs="方正仿宋_GBK"/>
          <w:b w:val="0"/>
          <w:bCs w:val="0"/>
          <w:color w:val="auto"/>
          <w:sz w:val="32"/>
          <w:szCs w:val="32"/>
          <w:highlight w:val="none"/>
        </w:rPr>
        <w:t>。</w:t>
      </w:r>
      <w:r>
        <w:rPr>
          <w:rFonts w:hint="eastAsia" w:ascii="Times New Roman" w:hAnsi="Times New Roman" w:eastAsia="方正仿宋_GBK"/>
          <w:b w:val="0"/>
          <w:bCs w:val="0"/>
          <w:color w:val="auto"/>
          <w:sz w:val="32"/>
          <w:szCs w:val="32"/>
          <w:highlight w:val="none"/>
          <w:lang w:val="en-US" w:eastAsia="zh-CN"/>
        </w:rPr>
        <w:t>下一步改进措施：</w:t>
      </w:r>
      <w:r>
        <w:rPr>
          <w:rFonts w:hint="eastAsia" w:ascii="方正仿宋_GBK" w:hAnsi="方正仿宋_GBK" w:eastAsia="方正仿宋_GBK" w:cs="方正仿宋_GBK"/>
          <w:b w:val="0"/>
          <w:bCs w:val="0"/>
          <w:color w:val="auto"/>
          <w:kern w:val="0"/>
          <w:sz w:val="32"/>
          <w:szCs w:val="32"/>
          <w:highlight w:val="none"/>
        </w:rPr>
        <w:t>加强</w:t>
      </w:r>
      <w:r>
        <w:rPr>
          <w:rFonts w:hint="eastAsia" w:ascii="方正仿宋_GBK" w:hAnsi="方正仿宋_GBK" w:eastAsia="方正仿宋_GBK" w:cs="方正仿宋_GBK"/>
          <w:b w:val="0"/>
          <w:bCs w:val="0"/>
          <w:color w:val="auto"/>
          <w:kern w:val="0"/>
          <w:sz w:val="32"/>
          <w:szCs w:val="32"/>
          <w:highlight w:val="none"/>
          <w:lang w:val="en-US" w:eastAsia="zh-CN"/>
        </w:rPr>
        <w:t>前期市场调研，提升预算编制质量；在执行过程中加强监控监督，及时整改问题调整预算；</w:t>
      </w:r>
      <w:r>
        <w:rPr>
          <w:rFonts w:hint="eastAsia" w:ascii="方正仿宋_GBK" w:hAnsi="方正仿宋_GBK" w:eastAsia="方正仿宋_GBK" w:cs="方正仿宋_GBK"/>
          <w:b w:val="0"/>
          <w:bCs w:val="0"/>
          <w:color w:val="auto"/>
          <w:sz w:val="32"/>
          <w:szCs w:val="32"/>
          <w:highlight w:val="none"/>
          <w:lang w:val="en-US" w:eastAsia="zh-CN"/>
        </w:rPr>
        <w:t>加强对项目全过程管控，切实加强对项目资金的监督管理，及时按合同约定支付进度款项，合理加快项目建设经费预算执行进度。</w:t>
      </w:r>
    </w:p>
    <w:p>
      <w:pPr>
        <w:pStyle w:val="13"/>
        <w:numPr>
          <w:ilvl w:val="0"/>
          <w:numId w:val="0"/>
        </w:numPr>
        <w:rPr>
          <w:rFonts w:hint="default" w:eastAsia="方正仿宋_GBK"/>
          <w:sz w:val="32"/>
          <w:szCs w:val="32"/>
          <w:lang w:val="en-US" w:eastAsia="zh-CN"/>
        </w:rPr>
      </w:pPr>
    </w:p>
    <w:p>
      <w:pPr>
        <w:spacing w:line="244" w:lineRule="auto"/>
        <w:rPr>
          <w:rFonts w:ascii="Arial"/>
          <w:sz w:val="21"/>
        </w:rPr>
      </w:pPr>
    </w:p>
    <w:p>
      <w:pPr>
        <w:spacing w:before="50" w:line="220" w:lineRule="auto"/>
        <w:rPr>
          <w:rFonts w:ascii="宋体" w:hAnsi="宋体" w:eastAsia="宋体" w:cs="宋体"/>
          <w:b/>
          <w:bCs/>
          <w:spacing w:val="2"/>
          <w:sz w:val="25"/>
          <w:szCs w:val="25"/>
        </w:rPr>
      </w:pPr>
    </w:p>
    <w:tbl>
      <w:tblPr>
        <w:tblStyle w:val="9"/>
        <w:tblW w:w="96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28"/>
        <w:gridCol w:w="1130"/>
        <w:gridCol w:w="1056"/>
        <w:gridCol w:w="626"/>
        <w:gridCol w:w="819"/>
        <w:gridCol w:w="1374"/>
        <w:gridCol w:w="863"/>
        <w:gridCol w:w="675"/>
        <w:gridCol w:w="675"/>
        <w:gridCol w:w="731"/>
        <w:gridCol w:w="11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676" w:type="dxa"/>
            <w:gridSpan w:val="11"/>
            <w:tcBorders>
              <w:top w:val="nil"/>
              <w:left w:val="nil"/>
              <w:bottom w:val="nil"/>
              <w:right w:val="nil"/>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伙食补助费项目绩效自评表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676" w:type="dxa"/>
            <w:gridSpan w:val="11"/>
            <w:tcBorders>
              <w:top w:val="nil"/>
              <w:left w:val="nil"/>
              <w:bottom w:val="nil"/>
              <w:right w:val="nil"/>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018" w:type="dxa"/>
            <w:gridSpan w:val="9"/>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郴州支队伙食补助费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50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[225]国家消防救援局</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143"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郴州市消防救援支队本级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82"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40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8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192.68</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172.68</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150.42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40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87.1%</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8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109.35</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109.35</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109.35</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8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6.33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6.33</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6.33</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8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77</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57</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34.74</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500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143"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5005" w:type="dxa"/>
            <w:gridSpan w:val="5"/>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rPr>
              <w:t>科学调剂伙食，保证消防救援指战员营养和体能消耗需要，提升队伍战斗力，预算执行率达95%以上。</w:t>
            </w:r>
          </w:p>
        </w:tc>
        <w:tc>
          <w:tcPr>
            <w:tcW w:w="4143" w:type="dxa"/>
            <w:gridSpan w:val="5"/>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left"/>
              <w:textAlignment w:val="top"/>
              <w:rPr>
                <w:rFonts w:hint="eastAsia"/>
                <w:lang w:val="en-US" w:eastAsia="zh-CN"/>
              </w:rPr>
            </w:pPr>
            <w:r>
              <w:rPr>
                <w:rFonts w:hint="eastAsia"/>
                <w:lang w:val="en-US" w:eastAsia="zh-CN"/>
              </w:rPr>
              <w:t>科学调剂伙食，保证消防救援指战员营养和体能消耗需要，提升队伍战斗力。预算执行率87.1%。</w:t>
            </w:r>
          </w:p>
          <w:p>
            <w:pPr>
              <w:bidi w:val="0"/>
              <w:rPr>
                <w:rFonts w:hint="eastAsia"/>
              </w:rPr>
            </w:pPr>
          </w:p>
          <w:p>
            <w:pPr>
              <w:bidi w:val="0"/>
              <w:rPr>
                <w:rFonts w:hint="eastAsia"/>
              </w:rPr>
            </w:pPr>
          </w:p>
          <w:p>
            <w:pPr>
              <w:bidi w:val="0"/>
              <w:jc w:val="center"/>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113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0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44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得分</w:t>
            </w:r>
          </w:p>
        </w:tc>
        <w:tc>
          <w:tcPr>
            <w:tcW w:w="1930" w:type="dxa"/>
            <w:gridSpan w:val="2"/>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130" w:type="dxa"/>
            <w:tcBorders>
              <w:top w:val="single" w:color="000000" w:sz="4" w:space="0"/>
              <w:left w:val="nil"/>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05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445" w:type="dxa"/>
            <w:gridSpan w:val="2"/>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超规模、超标准超概算比例</w:t>
            </w:r>
          </w:p>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1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i w:val="0"/>
                <w:iCs w:val="0"/>
                <w:color w:val="000000"/>
                <w:sz w:val="18"/>
                <w:szCs w:val="18"/>
                <w:u w:val="none"/>
              </w:rPr>
            </w:pPr>
          </w:p>
        </w:tc>
        <w:tc>
          <w:tcPr>
            <w:tcW w:w="1130" w:type="dxa"/>
            <w:vMerge w:val="restart"/>
            <w:tcBorders>
              <w:top w:val="single" w:color="auto" w:sz="4" w:space="0"/>
              <w:left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0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数量指标</w:t>
            </w:r>
          </w:p>
        </w:tc>
        <w:tc>
          <w:tcPr>
            <w:tcW w:w="1445" w:type="dxa"/>
            <w:gridSpan w:val="2"/>
            <w:tcBorders>
              <w:top w:val="single" w:color="000000" w:sz="4" w:space="0"/>
              <w:left w:val="single" w:color="auto"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预算执行率</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≥100百分比</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17.4</w:t>
            </w:r>
          </w:p>
        </w:tc>
        <w:tc>
          <w:tcPr>
            <w:tcW w:w="1930" w:type="dxa"/>
            <w:gridSpan w:val="2"/>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1.因存在人员变动，导致预算核定人数与实际人数出现差异，导致伙食费执行率偏低；2.因预算核定天数与实际就餐天数存在差异，导致伙食费执行率偏低。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1130" w:type="dxa"/>
            <w:vMerge w:val="continue"/>
            <w:tcBorders>
              <w:left w:val="single" w:color="auto" w:sz="4" w:space="0"/>
              <w:bottom w:val="single" w:color="auto" w:sz="4" w:space="0"/>
              <w:right w:val="single" w:color="auto" w:sz="4" w:space="0"/>
            </w:tcBorders>
            <w:noWrap w:val="0"/>
            <w:vAlign w:val="top"/>
          </w:tcPr>
          <w:p>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rPr>
            </w:pPr>
          </w:p>
        </w:tc>
        <w:tc>
          <w:tcPr>
            <w:tcW w:w="10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445" w:type="dxa"/>
            <w:gridSpan w:val="2"/>
            <w:tcBorders>
              <w:top w:val="single" w:color="000000" w:sz="4" w:space="0"/>
              <w:left w:val="single" w:color="auto"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食品安全率</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1930" w:type="dxa"/>
            <w:gridSpan w:val="2"/>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0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445" w:type="dxa"/>
            <w:gridSpan w:val="2"/>
            <w:tcBorders>
              <w:top w:val="single" w:color="000000" w:sz="4" w:space="0"/>
              <w:left w:val="single" w:color="auto"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保障单位正常运行</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90有效</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90</w:t>
            </w:r>
          </w:p>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1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0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445" w:type="dxa"/>
            <w:gridSpan w:val="2"/>
            <w:tcBorders>
              <w:top w:val="single" w:color="000000" w:sz="4" w:space="0"/>
              <w:left w:val="single" w:color="auto"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服务对象投诉率</w:t>
            </w:r>
          </w:p>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w:t>
            </w:r>
          </w:p>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396" w:type="dxa"/>
            <w:gridSpan w:val="7"/>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87.4</w:t>
            </w:r>
          </w:p>
        </w:tc>
        <w:tc>
          <w:tcPr>
            <w:tcW w:w="1930" w:type="dxa"/>
            <w:gridSpan w:val="2"/>
            <w:tcBorders>
              <w:top w:val="nil"/>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676" w:type="dxa"/>
            <w:gridSpan w:val="11"/>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pPr>
        <w:spacing w:line="142" w:lineRule="exact"/>
      </w:pPr>
    </w:p>
    <w:p>
      <w:pPr>
        <w:pStyle w:val="2"/>
      </w:pPr>
    </w:p>
    <w:p>
      <w:pPr>
        <w:pStyle w:val="2"/>
      </w:pPr>
    </w:p>
    <w:p>
      <w:pPr>
        <w:pStyle w:val="2"/>
      </w:pPr>
    </w:p>
    <w:p>
      <w:pPr>
        <w:pStyle w:val="2"/>
      </w:pPr>
    </w:p>
    <w:p>
      <w:pPr>
        <w:pStyle w:val="2"/>
      </w:pPr>
    </w:p>
    <w:p/>
    <w:p>
      <w:pPr>
        <w:pStyle w:val="2"/>
      </w:pPr>
    </w:p>
    <w:tbl>
      <w:tblPr>
        <w:tblStyle w:val="9"/>
        <w:tblW w:w="9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07"/>
        <w:gridCol w:w="759"/>
        <w:gridCol w:w="1250"/>
        <w:gridCol w:w="822"/>
        <w:gridCol w:w="936"/>
        <w:gridCol w:w="1162"/>
        <w:gridCol w:w="1397"/>
        <w:gridCol w:w="709"/>
        <w:gridCol w:w="675"/>
        <w:gridCol w:w="158"/>
        <w:gridCol w:w="10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9538" w:type="dxa"/>
            <w:gridSpan w:val="11"/>
            <w:tcBorders>
              <w:top w:val="nil"/>
              <w:left w:val="nil"/>
              <w:bottom w:val="nil"/>
              <w:right w:val="nil"/>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政府专职消防员经费项目绩效自评表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9538" w:type="dxa"/>
            <w:gridSpan w:val="11"/>
            <w:tcBorders>
              <w:top w:val="nil"/>
              <w:left w:val="nil"/>
              <w:bottom w:val="nil"/>
              <w:right w:val="nil"/>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172" w:type="dxa"/>
            <w:gridSpan w:val="9"/>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3004"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 国家消防救援局</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006"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郴州市消防救援支队本级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2072"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9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83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1,543.05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1,612.99</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1,474.14</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w:t>
            </w:r>
          </w:p>
        </w:tc>
        <w:tc>
          <w:tcPr>
            <w:tcW w:w="83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91.4%</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eastAsia="宋体"/>
                <w:lang w:val="en-US" w:eastAsia="zh-CN"/>
              </w:rPr>
            </w:pPr>
            <w:r>
              <w:rPr>
                <w:rFonts w:hint="eastAsia" w:ascii="宋体" w:hAnsi="宋体" w:eastAsia="宋体" w:cs="宋体"/>
                <w:i w:val="0"/>
                <w:iCs w:val="0"/>
                <w:snapToGrid w:val="0"/>
                <w:color w:val="000000"/>
                <w:kern w:val="0"/>
                <w:sz w:val="18"/>
                <w:szCs w:val="18"/>
                <w:u w:val="none"/>
                <w:lang w:val="en-US" w:eastAsia="zh-CN" w:bidi="ar"/>
              </w:rPr>
              <w:t>1,543.05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1,612.99</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1,474.14</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年度总体目标</w:t>
            </w:r>
          </w:p>
        </w:tc>
        <w:tc>
          <w:tcPr>
            <w:tcW w:w="492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006"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4925" w:type="dxa"/>
            <w:gridSpan w:val="5"/>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消防救援队伍用于保障机构正常运行，用于保障支队政府专职消防员的人员工资福利支出以及对个人和家庭的补助等人员经费支出。</w:t>
            </w:r>
          </w:p>
        </w:tc>
        <w:tc>
          <w:tcPr>
            <w:tcW w:w="4006" w:type="dxa"/>
            <w:gridSpan w:val="5"/>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消防救援队伍用于保障机构正常运行，用于保障支队政府专职消防员的人员工资福利支出以及对个人和家庭的补助等人员经费支出。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759"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75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得分</w:t>
            </w:r>
          </w:p>
        </w:tc>
        <w:tc>
          <w:tcPr>
            <w:tcW w:w="1225" w:type="dxa"/>
            <w:gridSpan w:val="2"/>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18"/>
                <w:szCs w:val="18"/>
                <w:u w:val="none"/>
              </w:rPr>
            </w:pPr>
          </w:p>
        </w:tc>
        <w:tc>
          <w:tcPr>
            <w:tcW w:w="759" w:type="dxa"/>
            <w:tcBorders>
              <w:top w:val="single" w:color="000000" w:sz="4" w:space="0"/>
              <w:left w:val="nil"/>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25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754" w:type="dxa"/>
            <w:gridSpan w:val="2"/>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预算成本控制</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≥100百分比</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12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2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数量指标</w:t>
            </w:r>
          </w:p>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754" w:type="dxa"/>
            <w:gridSpan w:val="2"/>
            <w:tcBorders>
              <w:top w:val="single" w:color="000000" w:sz="4" w:space="0"/>
              <w:left w:val="single" w:color="auto"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预算执行率</w:t>
            </w:r>
          </w:p>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≥100百分比</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91.40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36.4</w:t>
            </w:r>
          </w:p>
        </w:tc>
        <w:tc>
          <w:tcPr>
            <w:tcW w:w="12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因核拨经费的核定人数大于实际在岗人数，且存在人员离职情况，导致预算执行率未达100%</w:t>
            </w:r>
          </w:p>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2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754" w:type="dxa"/>
            <w:gridSpan w:val="2"/>
            <w:tcBorders>
              <w:top w:val="single" w:color="000000" w:sz="4" w:space="0"/>
              <w:left w:val="single" w:color="auto"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满足社会救援任务需求，提升消防社会影响力</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≥100百分比</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12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2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754" w:type="dxa"/>
            <w:gridSpan w:val="2"/>
            <w:tcBorders>
              <w:top w:val="single" w:color="000000" w:sz="4" w:space="0"/>
              <w:left w:val="single" w:color="auto"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社会公众或服务对象满意度</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≥95%</w:t>
            </w:r>
          </w:p>
        </w:tc>
        <w:tc>
          <w:tcPr>
            <w:tcW w:w="13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929" w:type="dxa"/>
            <w:gridSpan w:val="7"/>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总分</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86.4</w:t>
            </w:r>
          </w:p>
        </w:tc>
        <w:tc>
          <w:tcPr>
            <w:tcW w:w="1225"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9538" w:type="dxa"/>
            <w:gridSpan w:val="11"/>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pPr>
        <w:pStyle w:val="2"/>
      </w:pPr>
    </w:p>
    <w:p>
      <w:pPr>
        <w:pStyle w:val="2"/>
        <w:sectPr>
          <w:footerReference r:id="rId15" w:type="default"/>
          <w:pgSz w:w="11910" w:h="16840"/>
          <w:pgMar w:top="1407" w:right="1724" w:bottom="1141" w:left="1786" w:header="0" w:footer="1012" w:gutter="0"/>
          <w:pgNumType w:fmt="decimal"/>
          <w:cols w:space="720" w:num="1"/>
        </w:sect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3052" w:lineRule="exact"/>
        <w:textAlignment w:val="center"/>
      </w:pPr>
      <w:r>
        <mc:AlternateContent>
          <mc:Choice Requires="wps">
            <w:drawing>
              <wp:inline distT="0" distB="0" distL="114300" distR="114300">
                <wp:extent cx="7560310" cy="1938655"/>
                <wp:effectExtent l="0" t="0" r="2540" b="4445"/>
                <wp:docPr id="6" name="文本框 15"/>
                <wp:cNvGraphicFramePr/>
                <a:graphic xmlns:a="http://schemas.openxmlformats.org/drawingml/2006/main">
                  <a:graphicData uri="http://schemas.microsoft.com/office/word/2010/wordprocessingShape">
                    <wps:wsp>
                      <wps:cNvSpPr txBox="true"/>
                      <wps:spPr>
                        <a:xfrm>
                          <a:off x="0" y="0"/>
                          <a:ext cx="7560310" cy="1938655"/>
                        </a:xfrm>
                        <a:prstGeom prst="rect">
                          <a:avLst/>
                        </a:prstGeom>
                        <a:solidFill>
                          <a:srgbClr val="95B3D7"/>
                        </a:solidFill>
                        <a:ln>
                          <a:noFill/>
                        </a:ln>
                        <a:effectLst/>
                      </wps:spPr>
                      <wps:txbx>
                        <w:txbxContent>
                          <w:p>
                            <w:pPr>
                              <w:spacing w:line="265" w:lineRule="auto"/>
                              <w:rPr>
                                <w:rFonts w:ascii="Arial"/>
                                <w:sz w:val="21"/>
                              </w:rPr>
                            </w:pPr>
                          </w:p>
                          <w:p>
                            <w:pPr>
                              <w:spacing w:line="265" w:lineRule="auto"/>
                              <w:rPr>
                                <w:rFonts w:ascii="Arial"/>
                                <w:sz w:val="21"/>
                              </w:rPr>
                            </w:pPr>
                          </w:p>
                          <w:p>
                            <w:pPr>
                              <w:spacing w:line="266" w:lineRule="auto"/>
                              <w:rPr>
                                <w:rFonts w:ascii="Arial"/>
                                <w:sz w:val="21"/>
                              </w:rPr>
                            </w:pPr>
                          </w:p>
                          <w:p>
                            <w:pPr>
                              <w:spacing w:line="266" w:lineRule="auto"/>
                              <w:rPr>
                                <w:rFonts w:ascii="Arial"/>
                                <w:sz w:val="21"/>
                              </w:rPr>
                            </w:pPr>
                          </w:p>
                          <w:p>
                            <w:pPr>
                              <w:spacing w:before="169" w:line="242" w:lineRule="auto"/>
                              <w:ind w:firstLine="3036" w:firstLineChars="600"/>
                              <w:rPr>
                                <w:rFonts w:ascii="黑体" w:hAnsi="黑体" w:eastAsia="黑体" w:cs="黑体"/>
                                <w:sz w:val="52"/>
                                <w:szCs w:val="52"/>
                              </w:rPr>
                            </w:pPr>
                            <w:r>
                              <w:rPr>
                                <w:rFonts w:ascii="黑体" w:hAnsi="黑体" w:eastAsia="黑体" w:cs="黑体"/>
                                <w:b/>
                                <w:bCs/>
                                <w:spacing w:val="-8"/>
                                <w:sz w:val="52"/>
                                <w:szCs w:val="52"/>
                              </w:rPr>
                              <w:t>第四部分</w:t>
                            </w:r>
                            <w:r>
                              <w:rPr>
                                <w:rFonts w:hint="eastAsia" w:ascii="黑体" w:hAnsi="黑体" w:eastAsia="黑体" w:cs="黑体"/>
                                <w:b/>
                                <w:bCs/>
                                <w:spacing w:val="-8"/>
                                <w:sz w:val="52"/>
                                <w:szCs w:val="52"/>
                                <w:lang w:val="en-US" w:eastAsia="zh-CN"/>
                              </w:rPr>
                              <w:t xml:space="preserve">     </w:t>
                            </w:r>
                            <w:r>
                              <w:rPr>
                                <w:rFonts w:ascii="黑体" w:hAnsi="黑体" w:eastAsia="黑体" w:cs="黑体"/>
                                <w:b/>
                                <w:bCs/>
                                <w:spacing w:val="-8"/>
                                <w:sz w:val="52"/>
                                <w:szCs w:val="52"/>
                              </w:rPr>
                              <w:t>名词解释</w:t>
                            </w:r>
                          </w:p>
                        </w:txbxContent>
                      </wps:txbx>
                      <wps:bodyPr vert="horz" wrap="square" lIns="0" tIns="0" rIns="0" bIns="0" anchor="t" anchorCtr="false" upright="true"/>
                    </wps:wsp>
                  </a:graphicData>
                </a:graphic>
              </wp:inline>
            </w:drawing>
          </mc:Choice>
          <mc:Fallback>
            <w:pict>
              <v:shape id="文本框 15" o:spid="_x0000_s1026" o:spt="202" type="#_x0000_t202" style="height:152.65pt;width:595.3pt;" fillcolor="#95B3D7" filled="t" stroked="f" coordsize="21600,21600" o:gfxdata="UEsFBgAAAAAAAAAAAAAAAAAAAAAAAFBLAwQKAAAAAACHTuJAAAAAAAAAAAAAAAAABAAAAGRycy9Q&#10;SwMEFAAAAAgAh07iQHsgEJrXAAAABgEAAA8AAABkcnMvZG93bnJldi54bWxNj8FOwzAQRO+V+g/W&#10;InGpqB2qpiTE6QEJOCGgVOK6jZckbbyOYqctf4/LBS4rjWY087ZYn20njjT41rGGZK5AEFfOtFxr&#10;2H483tyB8AHZYOeYNHyTh3U5nRSYG3fidzpuQi1iCfscNTQh9LmUvmrIop+7njh6X26wGKIcamkG&#10;PMVy28lbpVJpseW40GBPDw1Vh81oNdTpavWy/3zL9ibrt+75dVw+zUatr68SdQ8i0Dn8heGCH9Gh&#10;jEw7N7LxotMQHwm/9+IlmUpB7DQs1HIBsizkf/zyB1BLAwQUAAAACACHTuJAVGf4QuIBAACaAwAA&#10;DgAAAGRycy9lMm9Eb2MueG1srVPNjtMwEL4j8Q6W7zTJVu3uRk1X2q0WISFAWngA13ESS/5j7DYp&#10;DwBvwIkLd56rz8HYabq7cENcnPmf+b6ZrG4GrchegJfWVLSY5ZQIw20tTVvRTx/vX11R4gMzNVPW&#10;iIoehKc365cvVr0rxYXtrKoFECxifNm7inYhuDLLPO+EZn5mnTDobCxoFlCFNquB9Vhdq+wiz5dZ&#10;b6F2YLnwHq2b0UnXqX7TCB7eN40XgaiK4mwhvZDebXyz9YqVLTDXSX4ag/3DFJpJg03PpTYsMLID&#10;+VcpLTlYb5sw41ZntmkkFwkDoinyP9A8dMyJhAXJ8e5Mk/9/Zfm7/Qcgsq7okhLDNK7o+P3b8cev&#10;48+vpFhEfnrnSwx7cBgYhls7VDTATkwuj/aIfGhAxy9iIhiCZB/OBIshEI7Gy8Uynxfo4ugrrudX&#10;y0VqkT2mO/DhtbCaRKGigBtMxLL9Wx9wGgydQmI3b5Ws76VSSYF2e6eA7Blu+3pxO99cxikx5VmY&#10;MjHY2Jg2ukeLSPdyahNRj9CiFIbtcKJia+sDMoE3j+N1Fr5Q0uP9VNR/3jEQlKg3BhcUj20SYBK2&#10;k8AMx1QkkpJRvAuoNUx5LLBzINsOq080Z3EEPIAE5XSs8cKe6ig//aX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WAAAAZHJzL1BLAQIU&#10;ABQAAAAIAIdO4kB7IBCa1wAAAAYBAAAPAAAAAAAAAAEAIAAAADgAAABkcnMvZG93bnJldi54bWxQ&#10;SwECFAAUAAAACACHTuJAVGf4QuIBAACaAwAADgAAAAAAAAABACAAAAA8AQAAZHJzL2Uyb0RvYy54&#10;bWxQSwUGAAAAAAYABgBZAQAAkAUAAAAA&#10;">
                <v:fill on="t" focussize="0,0"/>
                <v:stroke on="f"/>
                <v:imagedata o:title=""/>
                <o:lock v:ext="edit" aspectratio="f"/>
                <v:textbox inset="0mm,0mm,0mm,0mm">
                  <w:txbxContent>
                    <w:p>
                      <w:pPr>
                        <w:spacing w:line="265" w:lineRule="auto"/>
                        <w:rPr>
                          <w:rFonts w:ascii="Arial"/>
                          <w:sz w:val="21"/>
                        </w:rPr>
                      </w:pPr>
                    </w:p>
                    <w:p>
                      <w:pPr>
                        <w:spacing w:line="265" w:lineRule="auto"/>
                        <w:rPr>
                          <w:rFonts w:ascii="Arial"/>
                          <w:sz w:val="21"/>
                        </w:rPr>
                      </w:pPr>
                    </w:p>
                    <w:p>
                      <w:pPr>
                        <w:spacing w:line="266" w:lineRule="auto"/>
                        <w:rPr>
                          <w:rFonts w:ascii="Arial"/>
                          <w:sz w:val="21"/>
                        </w:rPr>
                      </w:pPr>
                    </w:p>
                    <w:p>
                      <w:pPr>
                        <w:spacing w:line="266" w:lineRule="auto"/>
                        <w:rPr>
                          <w:rFonts w:ascii="Arial"/>
                          <w:sz w:val="21"/>
                        </w:rPr>
                      </w:pPr>
                    </w:p>
                    <w:p>
                      <w:pPr>
                        <w:spacing w:before="169" w:line="242" w:lineRule="auto"/>
                        <w:ind w:firstLine="3036" w:firstLineChars="600"/>
                        <w:rPr>
                          <w:rFonts w:ascii="黑体" w:hAnsi="黑体" w:eastAsia="黑体" w:cs="黑体"/>
                          <w:sz w:val="52"/>
                          <w:szCs w:val="52"/>
                        </w:rPr>
                      </w:pPr>
                      <w:r>
                        <w:rPr>
                          <w:rFonts w:ascii="黑体" w:hAnsi="黑体" w:eastAsia="黑体" w:cs="黑体"/>
                          <w:b/>
                          <w:bCs/>
                          <w:spacing w:val="-8"/>
                          <w:sz w:val="52"/>
                          <w:szCs w:val="52"/>
                        </w:rPr>
                        <w:t>第四部分</w:t>
                      </w:r>
                      <w:r>
                        <w:rPr>
                          <w:rFonts w:hint="eastAsia" w:ascii="黑体" w:hAnsi="黑体" w:eastAsia="黑体" w:cs="黑体"/>
                          <w:b/>
                          <w:bCs/>
                          <w:spacing w:val="-8"/>
                          <w:sz w:val="52"/>
                          <w:szCs w:val="52"/>
                          <w:lang w:val="en-US" w:eastAsia="zh-CN"/>
                        </w:rPr>
                        <w:t xml:space="preserve">     </w:t>
                      </w:r>
                      <w:r>
                        <w:rPr>
                          <w:rFonts w:ascii="黑体" w:hAnsi="黑体" w:eastAsia="黑体" w:cs="黑体"/>
                          <w:b/>
                          <w:bCs/>
                          <w:spacing w:val="-8"/>
                          <w:sz w:val="52"/>
                          <w:szCs w:val="52"/>
                        </w:rPr>
                        <w:t>名词解释</w:t>
                      </w:r>
                    </w:p>
                  </w:txbxContent>
                </v:textbox>
                <w10:wrap type="none"/>
                <w10:anchorlock/>
              </v:shape>
            </w:pict>
          </mc:Fallback>
        </mc:AlternateContent>
      </w:r>
    </w:p>
    <w:p>
      <w:pPr>
        <w:sectPr>
          <w:footerReference r:id="rId16" w:type="default"/>
          <w:pgSz w:w="11906" w:h="16839"/>
          <w:pgMar w:top="1431" w:right="0" w:bottom="1157" w:left="0" w:header="0" w:footer="994" w:gutter="0"/>
          <w:pgNumType w:fmt="decimal"/>
          <w:cols w:space="720" w:num="1"/>
        </w:sect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default" w:ascii="Times New Roman" w:hAnsi="Times New Roman" w:eastAsia="Times New Roman" w:cs="Times New Roman"/>
          <w:color w:val="auto"/>
          <w:spacing w:val="8"/>
          <w:sz w:val="31"/>
          <w:szCs w:val="31"/>
          <w:highlight w:val="none"/>
        </w:rPr>
        <w:t>”</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Times New Roman" w:cs="Times New Roman"/>
          <w:color w:val="auto"/>
          <w:spacing w:val="-27"/>
          <w:sz w:val="31"/>
          <w:szCs w:val="31"/>
          <w:highlight w:val="none"/>
        </w:rPr>
        <w:t xml:space="preserve"> </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0"/>
          <w:sz w:val="31"/>
          <w:szCs w:val="31"/>
          <w:highlight w:val="none"/>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pPr>
        <w:keepNext w:val="0"/>
        <w:keepLines w:val="0"/>
        <w:pageBreakBefore w:val="0"/>
        <w:widowControl/>
        <w:kinsoku w:val="0"/>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pPr>
        <w:keepNext w:val="0"/>
        <w:keepLines w:val="0"/>
        <w:pageBreakBefore w:val="0"/>
        <w:widowControl/>
        <w:tabs>
          <w:tab w:val="left" w:pos="311"/>
          <w:tab w:val="center" w:pos="4511"/>
        </w:tabs>
        <w:kinsoku w:val="0"/>
        <w:wordWrap/>
        <w:overflowPunct/>
        <w:topLinePunct w:val="0"/>
        <w:autoSpaceDE w:val="0"/>
        <w:autoSpaceDN w:val="0"/>
        <w:bidi w:val="0"/>
        <w:adjustRightInd w:val="0"/>
        <w:snapToGrid w:val="0"/>
        <w:spacing w:line="600" w:lineRule="exact"/>
        <w:ind w:right="0"/>
        <w:jc w:val="lef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lang w:val="en-US" w:eastAsia="zh-CN"/>
        </w:rPr>
        <w:t xml:space="preserve">    </w:t>
      </w: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pPr>
        <w:keepNext w:val="0"/>
        <w:keepLines w:val="0"/>
        <w:pageBreakBefore w:val="0"/>
        <w:widowControl/>
        <w:kinsoku w:val="0"/>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1"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default" w:ascii="Times New Roman" w:hAnsi="Times New Roman" w:eastAsia="Times New Roman" w:cs="Times New Roman"/>
          <w:b/>
          <w:bCs/>
          <w:color w:val="auto"/>
          <w:spacing w:val="8"/>
          <w:sz w:val="31"/>
          <w:szCs w:val="31"/>
          <w:highlight w:val="none"/>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8"/>
          <w:sz w:val="31"/>
          <w:szCs w:val="31"/>
          <w:highlight w:val="none"/>
        </w:rPr>
        <w:t>纳入中央财政预决算管理的</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8"/>
          <w:sz w:val="31"/>
          <w:szCs w:val="31"/>
          <w:highlight w:val="none"/>
        </w:rPr>
        <w:t>三公</w:t>
      </w:r>
      <w:r>
        <w:rPr>
          <w:rFonts w:hint="default" w:ascii="Times New Roman" w:hAnsi="Times New Roman" w:eastAsia="Times New Roman" w:cs="Times New Roman"/>
          <w:color w:val="auto"/>
          <w:spacing w:val="8"/>
          <w:sz w:val="31"/>
          <w:szCs w:val="31"/>
          <w:highlight w:val="none"/>
        </w:rPr>
        <w:t>”</w:t>
      </w:r>
      <w:r>
        <w:rPr>
          <w:rFonts w:hint="default" w:ascii="Times New Roman" w:hAnsi="Times New Roman" w:eastAsia="Times New Roman" w:cs="Times New Roman"/>
          <w:color w:val="auto"/>
          <w:spacing w:val="-52"/>
          <w:sz w:val="31"/>
          <w:szCs w:val="31"/>
          <w:highlight w:val="none"/>
        </w:rPr>
        <w:t xml:space="preserve"> </w:t>
      </w:r>
      <w:r>
        <w:rPr>
          <w:rFonts w:hint="default" w:ascii="Times New Roman" w:hAnsi="Times New Roman" w:eastAsia="方正仿宋_GBK" w:cs="Times New Roman"/>
          <w:color w:val="auto"/>
          <w:spacing w:val="8"/>
          <w:sz w:val="31"/>
          <w:szCs w:val="31"/>
          <w:highlight w:val="none"/>
        </w:rPr>
        <w:t>经</w:t>
      </w:r>
      <w:r>
        <w:rPr>
          <w:rFonts w:hint="default" w:ascii="Times New Roman" w:hAnsi="Times New Roman" w:eastAsia="方正仿宋_GBK" w:cs="Times New Roman"/>
          <w:color w:val="auto"/>
          <w:spacing w:val="5"/>
          <w:sz w:val="31"/>
          <w:szCs w:val="31"/>
          <w:highlight w:val="none"/>
        </w:rPr>
        <w:t>费，指中央部门用财政拨款安排的因公出国（境）费、公务用车</w:t>
      </w:r>
      <w:r>
        <w:rPr>
          <w:rFonts w:hint="default" w:ascii="Times New Roman" w:hAnsi="Times New Roman" w:eastAsia="方正仿宋_GBK" w:cs="Times New Roman"/>
          <w:color w:val="auto"/>
          <w:spacing w:val="-4"/>
          <w:sz w:val="31"/>
          <w:szCs w:val="31"/>
          <w:highlight w:val="none"/>
        </w:rPr>
        <w:t>购置及运行维护费和公务接待费。其中，</w:t>
      </w:r>
      <w:r>
        <w:rPr>
          <w:rFonts w:hint="default" w:ascii="Times New Roman" w:hAnsi="Times New Roman" w:eastAsia="方正仿宋_GBK" w:cs="Times New Roman"/>
          <w:color w:val="auto"/>
          <w:spacing w:val="115"/>
          <w:sz w:val="31"/>
          <w:szCs w:val="31"/>
          <w:highlight w:val="none"/>
        </w:rPr>
        <w:t xml:space="preserve"> </w:t>
      </w:r>
      <w:r>
        <w:rPr>
          <w:rFonts w:hint="default" w:ascii="Times New Roman" w:hAnsi="Times New Roman" w:eastAsia="方正仿宋_GBK" w:cs="Times New Roman"/>
          <w:color w:val="auto"/>
          <w:spacing w:val="-4"/>
          <w:sz w:val="31"/>
          <w:szCs w:val="31"/>
          <w:highlight w:val="none"/>
        </w:rPr>
        <w:t>因公出国（境）费反映</w:t>
      </w:r>
      <w:r>
        <w:rPr>
          <w:rFonts w:hint="default" w:ascii="Times New Roman" w:hAnsi="Times New Roman" w:eastAsia="方正仿宋_GBK" w:cs="Times New Roman"/>
          <w:color w:val="auto"/>
          <w:spacing w:val="8"/>
          <w:sz w:val="31"/>
          <w:szCs w:val="31"/>
          <w:highlight w:val="none"/>
        </w:rPr>
        <w:t>单位公务出国（境）的国际旅费、国外城市间交通费、住</w:t>
      </w:r>
      <w:r>
        <w:rPr>
          <w:rFonts w:hint="default" w:ascii="Times New Roman" w:hAnsi="Times New Roman" w:eastAsia="方正仿宋_GBK" w:cs="Times New Roman"/>
          <w:color w:val="auto"/>
          <w:spacing w:val="7"/>
          <w:sz w:val="31"/>
          <w:szCs w:val="31"/>
          <w:highlight w:val="none"/>
        </w:rPr>
        <w:t>宿费、</w:t>
      </w:r>
      <w:r>
        <w:rPr>
          <w:rFonts w:hint="default" w:ascii="Times New Roman" w:hAnsi="Times New Roman" w:eastAsia="方正仿宋_GBK" w:cs="Times New Roman"/>
          <w:color w:val="auto"/>
          <w:spacing w:val="5"/>
          <w:sz w:val="31"/>
          <w:szCs w:val="31"/>
          <w:highlight w:val="none"/>
        </w:rPr>
        <w:t>伙食费、培训费、公杂费等支出；公务用车购置及运行维护费反映单位公务用车车辆购置支出（含车辆购置税）及燃料费、维修费、过路过桥费、保险费、安全奖励费用等支出；公务接待费反</w:t>
      </w:r>
      <w:r>
        <w:rPr>
          <w:rFonts w:hint="default" w:ascii="Times New Roman" w:hAnsi="Times New Roman" w:eastAsia="方正仿宋_GBK" w:cs="Times New Roman"/>
          <w:color w:val="auto"/>
          <w:spacing w:val="4"/>
          <w:sz w:val="31"/>
          <w:szCs w:val="31"/>
          <w:highlight w:val="none"/>
        </w:rPr>
        <w:t>映单位按规定开支的各类公务接待（含外宾接待）</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4"/>
          <w:sz w:val="31"/>
          <w:szCs w:val="31"/>
          <w:highlight w:val="none"/>
        </w:rPr>
        <w:t>支出。</w:t>
      </w:r>
    </w:p>
    <w:p>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r>
        <w:rPr>
          <w:rFonts w:hint="eastAsia" w:ascii="Times New Roman" w:hAnsi="Times New Roman" w:eastAsia="方正仿宋_GBK" w:cs="Times New Roman"/>
          <w:color w:val="auto"/>
          <w:spacing w:val="7"/>
          <w:sz w:val="31"/>
          <w:szCs w:val="31"/>
          <w:highlight w:val="none"/>
          <w:lang w:eastAsia="zh-CN"/>
        </w:rPr>
        <w:t>。</w:t>
      </w:r>
    </w:p>
    <w:p>
      <w:pPr>
        <w:pStyle w:val="2"/>
        <w:rPr>
          <w:rFonts w:hint="default"/>
          <w:color w:val="FF0000"/>
          <w:highlight w:val="yellow"/>
          <w:lang w:val="en-US" w:eastAsia="zh-CN"/>
        </w:rPr>
      </w:pPr>
    </w:p>
    <w:sectPr>
      <w:footerReference r:id="rId17" w:type="default"/>
      <w:pgSz w:w="11906" w:h="16839"/>
      <w:pgMar w:top="1431" w:right="1163" w:bottom="1157" w:left="1785" w:header="0" w:footer="99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Arial">
    <w:altName w:val="Nimbus Roman No9 L"/>
    <w:panose1 w:val="020B0604020202020204"/>
    <w:charset w:val="00"/>
    <w:family w:val="swiss"/>
    <w:pitch w:val="default"/>
    <w:sig w:usb0="E0002AFF" w:usb1="C0007843" w:usb2="00000009" w:usb3="00000000" w:csb0="400001FF" w:csb1="FFFF0000"/>
  </w:font>
  <w:font w:name="等线">
    <w:altName w:val="仿宋"/>
    <w:panose1 w:val="00000000000000000000"/>
    <w:charset w:val="00"/>
    <w:family w:val="auto"/>
    <w:pitch w:val="default"/>
    <w:sig w:usb0="00000000" w:usb1="00000000" w:usb2="00000000" w:usb3="00000000" w:csb0="00040001" w:csb1="00000000"/>
  </w:font>
  <w:font w:name="方正小标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隶书">
    <w:altName w:val="方正隶书_GBK"/>
    <w:panose1 w:val="02010509060101010101"/>
    <w:charset w:val="00"/>
    <w:family w:val="auto"/>
    <w:pitch w:val="default"/>
    <w:sig w:usb0="00000001" w:usb1="080E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abs>
        <w:tab w:val="clear" w:pos="4153"/>
      </w:tabs>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UXOtIwIAADkEAAAOAAAAZHJz&#10;L2Uyb0RvYy54bWytU82O0zAQviPxDpbvNGmBVVU1XZVdFSFV7EoFcXYdu4nk2JbtNikPAG/AiQv3&#10;fa4+B5/dpEXACXGxZzzj+fm+mflt1yhyEM7XRhd0PMopEZqbsta7gn78sHoxpcQHpkumjBYFPQpP&#10;bxfPn81bOxMTUxlVCkcQRPtZawtahWBnWeZ5JRrmR8YKDaM0rmEBqttlpWMtojcqm+T5TdYaV1pn&#10;uPAer/dnI12k+FIKHh6k9CIQVVDUFtLp0rmNZ7aYs9nOMVvVvC+D/UMVDas1kl5C3bPAyN7Vf4Rq&#10;au6MNzKMuGkyI2XNReoB3Yzz37rZVMyK1AvA8fYCk/9/Yfn7w6MjdVnQV2NKNGvA0enb19P3p9OP&#10;LwRvAKi1fga/jYVn6N6YrqDB7cVg8niPrXfSNfFGUwQuQPt4QVh0gXA8jqeT6TSHicM2KEiRXb9b&#10;58NbYRoShYI6UJiQZYe1D2fXwSVm02ZVK5VoVJq0Bb15+TpPHy4WBFc6+oo0EH2Y2NW59CiFbtv1&#10;rW5NeUSnzpyHxVu+qlHKmvnwyBymA+Vj4sMDDqkMUppeoqQy7vPf3qM/SIOVkhbTVlCNdaBEvdMg&#10;Mw7mILhB2A6C3jd3BuMLflBLEvHBBTWI0pnmE9ZgGXNIpjwCM82RDUQN4l2A1huxTlwslxd9b129&#10;q66fMZqWhbXeWN5THdHzdrkPQDuREDE7AwXyooL5TDT2uxQX4Fc9eV03fvET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B9Rc60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lang w:val="en-U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87"/>
      <w:rPr>
        <w:rFonts w:ascii="Calibri" w:hAnsi="Calibri" w:eastAsia="Calibri" w:cs="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rE4f7JAIAADkEAAAOAAAAZHJz&#10;L2Uyb0RvYy54bWytU82O0zAQviPxDpbvNGmBVVU1XZVdFSFV7EoFcXYdu4nk2JbtNikPAG/AiQv3&#10;fa4+B5/dpEXACXGxZzzj+fm+mflt1yhyEM7XRhd0PMopEZqbsta7gn78sHoxpcQHpkumjBYFPQpP&#10;bxfPn81bOxMTUxlVCkcQRPtZawtahWBnWeZ5JRrmR8YKDaM0rmEBqttlpWMtojcqm+T5TdYaV1pn&#10;uPAer/dnI12k+FIKHh6k9CIQVVDUFtLp0rmNZ7aYs9nOMVvVvC+D/UMVDas1kl5C3bPAyN7Vf4Rq&#10;au6MNzKMuGkyI2XNReoB3Yzz37rZVMyK1AvA8fYCk/9/Yfn7w6MjdVnQVxNKNGvA0enb19P3p9OP&#10;LwRvAKi1fga/jYVn6N6YrqDB7cVg8niPrXfSNfFGUwQuQPt4QVh0gXA8jqeT6TSHicM2KEiRXb9b&#10;58NbYRoShYI6UJiQZYe1D2fXwSVm02ZVK5VoVJq0Bb15+TpPHy4WBFc6+oo0EH2Y2NW59CiFbtv1&#10;rW5NeUSnzpyHxVu+qlHKmvnwyBymA+Vj4sMDDqkMUppeoqQy7vPf3qM/SIOVkhbTVlCNdaBEvdMg&#10;Mw7mILhB2A6C3jd3BuM7xiZZnkR8cEENonSm+YQ1WMYckimPwExzZANRg3gXoPVGrBMXy+VF31tX&#10;76rrZ4ymZWGtN5b3VEf0vF3uA9BOJETMzkCBvKhgPhON/S7FBfhVT17XjV/8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BYAAABkcnMvUEsB&#10;AhQAFAAAAAgAh07iQLNJWO7QAAAABQEAAA8AAAAAAAAAAQAgAAAAOAAAAGRycy9kb3ducmV2Lnht&#10;bFBLAQIUABQAAAAIAIdO4kCrE4f7JAIAADkEAAAOAAAAAAAAAAEAIAAAADUBAABkcnMvZTJvRG9j&#10;LnhtbFBLBQYAAAAABgAGAFkBAADL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86"/>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4LwR/IwIAADkEAAAOAAAAZHJz&#10;L2Uyb0RvYy54bWytU82O0zAQviPxDpbvNGkXVlXVdFV2VYRUsSsVxNl1nCaS/2S7TcoDwBtw4sKd&#10;5+pz8NlNWgScEBd7xjOen++bmd91SpKDcL4xuqDjUU6J0NyUjd4V9MP71YspJT4wXTJptCjoUXh6&#10;t3j+bN7amZiY2shSOIIg2s9aW9A6BDvLMs9roZgfGSs0jJVxigWobpeVjrWIrmQ2yfPbrDWutM5w&#10;4T1eH85Gukjxq0rw8FhVXgQiC4raQjpdOrfxzBZzNts5ZuuG92Wwf6hCsUYj6SXUAwuM7F3zRyjV&#10;cGe8qcKIG5WZqmq4SD2gm3H+WzebmlmRegE43l5g8v8vLH93eHKkKQv68oYSzRQ4On39cvr24/T9&#10;M8EbAGqtn8FvY+EZutemK2hwezGYPN5j613lVLzRFIEL0D5eEBZdIByP4+lkOs1h4rANClJk1+/W&#10;+fBGGEWiUFAHChOy7LD24ew6uMRs2qwaKRONUpO2oLc3r/L04WJBcKmjr0gD0YeJXZ1Lj1Lotl3f&#10;6taUR3TqzHlYvOWrBqWsmQ9PzGE6UD4mPjziqKRBStNLlNTGffrbe/QHabBS0mLaCqqxDpTItxpk&#10;xsEcBDcI20HQe3VvML5jbJLlScQHF+QgVs6oj1iDZcxRMekRmGmObCBqEO8DtN6IdeJiubzoe+ua&#10;XX39jNG0LKz1xvKe6oiet8t9ANqJhIjZGSiQFxXMZ6Kx36W4AL/qyeu68Y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PgvBH8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6167"/>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Dlm9WIwIAADkEAAAOAAAAZHJz&#10;L2Uyb0RvYy54bWytU82O0zAQviPxDpbvNGlZVlXVdFV2VYRUsSsVxNl1nCaS/2S7TcoDwBtw4sKd&#10;5+pz8NlNWgScEBd7xjOen++bmd91SpKDcL4xuqDjUU6J0NyUjd4V9MP71YspJT4wXTJptCjoUXh6&#10;t3j+bN7amZiY2shSOIIg2s9aW9A6BDvLMs9roZgfGSs0jJVxigWobpeVjrWIrmQ2yfPbrDWutM5w&#10;4T1eH85Gukjxq0rw8FhVXgQiC4raQjpdOrfxzBZzNts5ZuuG92Wwf6hCsUYj6SXUAwuM7F3zRyjV&#10;cGe8qcKIG5WZqmq4SD2gm3H+WzebmlmRegE43l5g8v8vLH93eHKkKQt6c0OJZgocnb5+OX37cfr+&#10;meANALXWz+C3sfAM3WvTFTS4vRhMHu+x9a5yKt5oisAFaB8vCIsuEI7H8XQyneYwcdgGBSmy63fr&#10;fHgjjCJRKKgDhQlZdlj7cHYdXGI2bVaNlIlGqUlb0NuXr/L04WJBcKmjr0gD0YeJXZ1Lj1Lotl3f&#10;6taUR3TqzHlYvOWrBqWsmQ9PzGE6UD4mPjziqKRBStNLlNTGffrbe/QHabBS0mLaCqqxDpTItxpk&#10;xsEcBDcI20HQe3VvML5jbJLlScQHF+QgVs6oj1iDZcxRMekRmGmObCBqEO8DtN6IdeJiubzoe+ua&#10;XX39jNG0LKz1xvKe6oiet8t9ANqJhIjZGSiQFxXMZ6Kx36W4AL/qyeu68Y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MOWb1Y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QquzSIwIAADkEAAAOAAAAZHJz&#10;L2Uyb0RvYy54bWytU82O0zAQviPxDpbvNGlhV1XVdFV2VYRUsSsVxNl1nCaS/2S7TcoDwBtw4sKd&#10;5+pz8NlNWgScEBd7xjOen++bmd91SpKDcL4xuqDjUU6J0NyUjd4V9MP71YspJT4wXTJptCjoUXh6&#10;t3j+bN7amZiY2shSOIIg2s9aW9A6BDvLMs9roZgfGSs0jJVxigWobpeVjrWIrmQ2yfPbrDWutM5w&#10;4T1eH85Gukjxq0rw8FhVXgQiC4raQjpdOrfxzBZzNts5ZuuG92Wwf6hCsUYj6SXUAwuM7F3zRyjV&#10;cGe8qcKIG5WZqmq4SD2gm3H+WzebmlmRegE43l5g8v8vLH93eHKkKQv66oYSzRQ4On39cvr24/T9&#10;M8EbAGqtn8FvY+EZutemK2hwezGYPN5j613lVLzRFIEL0D5eEBZdIByP4+lkOs1h4rANClJk1+/W&#10;+fBGGEWiUFAHChOy7LD24ew6uMRs2qwaKRONUpO2oLcvb/L04WJBcKmjr0gD0YeJXZ1Lj1Lotl3f&#10;6taUR3TqzHlYvOWrBqWsmQ9PzGE6UD4mPjziqKRBStNLlNTGffrbe/QHabBS0mLaCqqxDpTItxpk&#10;xsEcBDcI20HQe3VvML5jbJLlScQHF+QgVs6oj1iDZcxRMekRmGmObCBqEO8DtN6IdeJiubzoe+ua&#10;XX39jNG0LKz1xvKe6oiet8t9ANqJhIjZGSiQFxXMZ6Kx36W4AL/qyeu68Y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JCq7NI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6171"/>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6BiEIwIAADkEAAAOAAAAZHJz&#10;L2Uyb0RvYy54bWytU82O0zAQviPxDpbvNGmBqqqarsquipAqdqUFcXYdp4nkP9luk/IA8AacuHDf&#10;5+pz8NlNWgScEBd7xjOen++bWdx0SpKDcL4xuqDjUU6J0NyUjd4V9OOH9YsZJT4wXTJptCjoUXh6&#10;s3z+bNHauZiY2shSOIIg2s9bW9A6BDvPMs9roZgfGSs0jJVxigWobpeVjrWIrmQ2yfNp1hpXWme4&#10;8B6vd2cjXab4VSV4uK8qLwKRBUVtIZ0undt4ZssFm+8cs3XD+zLYP1ShWKOR9BLqjgVG9q75I5Rq&#10;uDPeVGHEjcpMVTVcpB7QzTj/rZvHmlmRegE43l5g8v8vLH9/eHCkKQv6akqJZgocnb59PX1/Ov34&#10;QvAGgFrr5/B7tPAM3RvTFTS4vRhMHu+x9a5yKt5oisAFaB8vCIsuEI7H8Wwym+UwcdgGBSmy63fr&#10;fHgrjCJRKKgDhQlZdtj4cHYdXGI2bdaNlIlGqUlb0OnL13n6cLEguNTRV6SB6MPErs6lRyl0265v&#10;dWvKIzp15jws3vJ1g1I2zIcH5jAdKB8TH+5xVNIgpeklSmrjPv/tPfqDNFgpaTFtBdVYB0rkOw0y&#10;42AOghuE7SDovbo1GN8xNsnyJOKDC3IQK2fUJ6zBKuaomPQIzDRHNhA1iLcBWm/EOnGxWl30vXXN&#10;rr5+xmhaFjb60fKe6oiet6t9ANqJhIjZGSiQFxXMZ6Kx36W4AL/qyeu68c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CToGIQ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14"/>
      <w:rPr>
        <w:rFonts w:ascii="Times New Roman" w:hAnsi="Times New Roman" w:eastAsia="Times New Roman" w:cs="Times New Roman"/>
        <w:sz w:val="12"/>
        <w:szCs w:val="12"/>
      </w:rPr>
    </w:pPr>
    <w:r>
      <w:rPr>
        <w:sz w:val="1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Sms/WIwIAADkEAAAOAAAAZHJz&#10;L2Uyb0RvYy54bWytU82O0zAQviPxDpbvNGmBVVU1XZVdFSFV7EoFcXYdu4nk2JbtNikPAG/AiQv3&#10;fa4+B5/dpEXACXGxZzzj+fm+mflt1yhyEM7XRhd0PMopEZqbsta7gn78sHoxpcQHpkumjBYFPQpP&#10;bxfPn81bOxMTUxlVCkcQRPtZawtahWBnWeZ5JRrmR8YKDaM0rmEBqttlpWMtojcqm+T5TdYaV1pn&#10;uPAer/dnI12k+FIKHh6k9CIQVVDUFtLp0rmNZ7aYs9nOMVvVvC+D/UMVDas1kl5C3bPAyN7Vf4Rq&#10;au6MNzKMuGkyI2XNReoB3Yzz37rZVMyK1AvA8fYCk/9/Yfn7w6MjdVnQV2BKswYcnb59PX1/Ov34&#10;QvAGgFrrZ/DbWHiG7o3pChrcXgwmj/fYeiddE280ReACtI8XhEUXCMfjeDqZTnOYOGyDghTZ9bt1&#10;PrwVpiFRKKgDhQlZdlj7cHYdXGI2bVa1UolGpUlb0JuXr/P04WJBcKWjr0gD0YeJXZ1Lj1Lotl3f&#10;6taUR3TqzHlYvOWrGqWsmQ+PzGE6UD4mPjzgkMogpeklSirjPv/tPfqDNFgpaTFtBdVYB0rUOw0y&#10;42AOghuE7SDofXNnML5jbJLlScQHF9QgSmeaT1iDZcwhmfIIzDRHNhA1iHcBWm/EOnGxXF70vXX1&#10;rrp+xmhaFtZ6Y3lPdUTP2+U+AO1EQsTsDBTIiwrmM9HY71JcgF/15HXd+MV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FKaz9Y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6135"/>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BpkxSJAIAADkEAAAOAAAAZHJz&#10;L2Uyb0RvYy54bWytU82O0zAQviPxDpbvNGmBVamarsquipAqdqWCOLuO3URybMt2m5QHgDfgxIU7&#10;z9Xn4LObtAg4IS72jGc8P983M7/tGkUOwvna6IKORzklQnNT1npX0A/vV8+mlPjAdMmU0aKgR+Hp&#10;7eLpk3lrZ2JiKqNK4QiCaD9rbUGrEOwsyzyvRMP8yFihYZTGNSxAdbusdKxF9EZlkzy/yVrjSusM&#10;F97j9f5spIsUX0rBw4OUXgSiCoraQjpdOrfxzBZzNts5Zqua92Wwf6iiYbVG0kuoexYY2bv6j1BN&#10;zZ3xRoYRN01mpKy5SD2gm3H+WzebilmRegE43l5g8v8vLH93eHSkLgv64hUlmjXg6PT1y+nbj9P3&#10;zwRvAKi1fga/jYVn6F6brqDB7cVg8niPrXfSNfFGUwQuQPt4QVh0gXA8jqeT6TSHicM2KEiRXb9b&#10;58MbYRoShYI6UJiQZYe1D2fXwSVm02ZVK5VoVJq0Bb15/jJPHy4WBFc6+oo0EH2Y2NW59CiFbtv1&#10;rW5NeUSnzpyHxVu+qlHKmvnwyBymA+Vj4sMDDqkMUppeoqQy7tPf3qM/SIOVkhbTVlCNdaBEvdUg&#10;Mw7mILhB2A6C3jd3BuM7xiZZnkR8cEENonSm+Yg1WMYckimPwExzZANRg3gXoPVGrBMXy+VF31tX&#10;76rrZ4ymZWGtN5b3VEf0vF3uA9BOJETMzkCBvKhgPhON/S7FBfhVT17XjV/8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BYAAABkcnMvUEsB&#10;AhQAFAAAAAgAh07iQLNJWO7QAAAABQEAAA8AAAAAAAAAAQAgAAAAOAAAAGRycy9kb3ducmV2Lnht&#10;bFBLAQIUABQAAAAIAIdO4kABpkxSJAIAADkEAAAOAAAAAAAAAAEAIAAAADUBAABkcnMvZTJvRG9j&#10;LnhtbFBLBQYAAAAABgAGAFkBAADL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323"/>
      <w:rPr>
        <w:rFonts w:ascii="宋体" w:hAnsi="宋体" w:eastAsia="宋体" w:cs="宋体"/>
        <w:sz w:val="13"/>
        <w:szCs w:val="13"/>
      </w:rPr>
    </w:pPr>
    <w:r>
      <w:rPr>
        <w:sz w:val="13"/>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7hbbIAIAADkEAAAOAAAAZHJz&#10;L2Uyb0RvYy54bWytU8uO0zAU3SPxD5b3NG0Ro6qadFRmVIRUMSMVxNp17CaSX7LdJuUD4A9YsWHP&#10;d813zLGbtLxWiI1zXzn3ce69vum0IgfhQ2NNSSejMSXCcFs1ZlfSD+9XL2aUhMhMxZQ1oqRHEejN&#10;4vmz69bNxdTWVlXCE4CYMG9dSesY3bwoAq+FZmFknTBwSus1i1D9rqg8a4GuVTEdj6+K1vrKectF&#10;CLDenZx0kfGlFDzeSxlEJKqkqC3m1+d3m95icc3mO89c3fC+DPYPVWjWGCQ9Q92xyMjeN39A6YZ7&#10;G6yMI251YaVsuMg9oJvJ+LduNjVzIveC4QR3HlP4f7D83eHBk6Yq6SuMxzANjh6/fnn89uPx+2cC&#10;GwbUujBH3MYhMnavbVfS6PdicAXYU+ud9Dp90RRBCOCO5wmLLhIO42Q2nc3GcHH4BgUpisvvzof4&#10;RlhNklBSDwrzZNlhHeIpdAhJ2YxdNUplGpUhbUmvXqLqXzwAVyZZRF6IHiZ1dSo9SbHbdn2rW1sd&#10;0am3p2UJjq8alLJmIT4wj+1A+dj4eI9HKouUtpcoqa3/9Dd7igdp8FLSYttKanAOlKi3BmQCMA6C&#10;H4TtIJi9vrVY3wkuyfEs4gcf1SBKb/VHnMEy5ZBMBQAzw5ENRA3ibYTWO3FOXCyXZ33vfLOrLz9j&#10;NR2La7NxvKc6TS+45T5i2pmENLPToEBeUrCfmcb+ltIB/KznqMvFL5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s0lY7tAAAAAFAQAADwAAAAAAAAABACAAAAA4AAAAZHJzL2Rvd25yZXYueG1sUEsB&#10;AhQAFAAAAAgAh07iQD7uFtsgAgAAOQQAAA4AAAAAAAAAAQAgAAAANQEAAGRycy9lMm9Eb2MueG1s&#10;UEsFBgAAAAAGAAYAWQEAAMc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341"/>
      <w:rPr>
        <w:rFonts w:ascii="宋体" w:hAnsi="宋体" w:eastAsia="宋体" w:cs="宋体"/>
        <w:sz w:val="13"/>
        <w:szCs w:val="13"/>
      </w:rPr>
    </w:pPr>
    <w:r>
      <w:rPr>
        <w:sz w:val="13"/>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t0pVfIwIAADkEAAAOAAAAZHJz&#10;L2Uyb0RvYy54bWytU82O0zAQviPxDpbvNGnRrqqq6arsqgipYlcqiLPr2E0kx7Zst0l5AHgDTly4&#10;81x9jv3sJi0CToiLPeMZz8/3zczvukaRg3C+Nrqg41FOidDclLXeFfTjh9WrKSU+MF0yZbQo6FF4&#10;erd4+WLe2pmYmMqoUjiCINrPWlvQKgQ7yzLPK9EwPzJWaBilcQ0LUN0uKx1rEb1R2STPb7PWuNI6&#10;w4X3eH04G+kixZdS8PAopReBqIKitpBOl85tPLPFnM12jtmq5n0Z7B+qaFitkfQS6oEFRvau/iNU&#10;U3NnvJFhxE2TGSlrLlIP6Gac/9bNpmJWpF4AjrcXmPz/C8vfH54cqcuC3owp0awBR6dvX0/ff55+&#10;fCF4A0Ct9TP4bSw8Q/fGdAUNbi8Gk8d7bL2Trok3miJwAdrHC8KiC4TjcTydTKc5TBy2QUGK7Prd&#10;Oh/eCtOQKBTUgcKELDusfTi7Di4xmzarWqlEo9KkLejt65s8fbhYEFzp6CvSQPRhYlfn0qMUum3X&#10;t7o15RGdOnMeFm/5qkYpa+bDE3OYDpSPiQ+POKQySGl6iZLKuM9/e4/+IA1WSlpMW0E11oES9U6D&#10;zDiYg+AGYTsIet/cG4wv+EEtScQHF9QgSmeaT1iDZcwhmfIIzDRHNhA1iPcBWm/EOnGxXF70vXX1&#10;rrp+xmhaFtZ6Y3lPdUTP2+U+AO1EQsTsDBTIiwrmM9HY71JcgF/15HXd+MU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G3SlV8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323"/>
      <w:rPr>
        <w:rFonts w:ascii="宋体" w:hAnsi="宋体" w:eastAsia="宋体" w:cs="宋体"/>
        <w:sz w:val="13"/>
        <w:szCs w:val="13"/>
      </w:rPr>
    </w:pPr>
    <w:r>
      <w:rPr>
        <w:sz w:val="13"/>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xFYmkIwIAADkEAAAOAAAAZHJz&#10;L2Uyb0RvYy54bWytU82O0zAQviPxDpbvNGlhV1XVdFV2VYRUsSsVxNl1nCaS/2S7TcoDwBtw4sKd&#10;5+pz8NlNWgScEBd7xjOen++bmd91SpKDcL4xuqDjUU6J0NyUjd4V9MP71YspJT4wXTJptCjoUXh6&#10;t3j+bN7amZiY2shSOIIg2s9aW9A6BDvLMs9roZgfGSs0jJVxigWobpeVjrWIrmQ2yfPbrDWutM5w&#10;4T1eH85Gukjxq0rw8FhVXgQiC4raQjpdOrfxzBZzNts5ZuuG92Wwf6hCsUYj6SXUAwuM7F3zRyjV&#10;cGe8qcKIG5WZqmq4SD2gm3H+WzebmlmRegE43l5g8v8vLH93eHKkKQt684oSzRQ4On39cvr24/T9&#10;M8EbAGqtn8FvY+EZutemK2hwezGYPN5j613lVLzRFIEL0D5eEBZdIByP4+lkOs1h4rANClJk1+/W&#10;+fBGGEWiUFAHChOy7LD24ew6uMRs2qwaKRONUpO2oLcvb/L04WJBcKmjr0gD0YeJXZ1Lj1Lotl3f&#10;6taUR3TqzHlYvOWrBqWsmQ9PzGE6UD4mPjziqKRBStNLlNTGffrbe/QHabBS0mLaCqqxDpTItxpk&#10;xsEcBDcI20HQe3VvML5jbJLlScQHF+QgVs6oj1iDZcxRMekRmGmObCBqEO8DtN6IdeJiubzoe+ua&#10;XX39jNG0LKz1xvKe6oiet8t9ANqJhIjZGSiQFxXMZ6Kx36W4AL/qyeu68Y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s0lY7tAAAAAFAQAADwAAAAAAAAABACAAAAA4AAAAZHJzL2Rvd25yZXYueG1s&#10;UEsBAhQAFAAAAAgAh07iQLEViaQjAgAAOQQAAA4AAAAAAAAAAQAgAAAANQEAAGRycy9lMm9Eb2Mu&#10;eG1sUEsFBgAAAAAGAAYAWQEAAMo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6129"/>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KQogJAIAADkEAAAOAAAAZHJz&#10;L2Uyb0RvYy54bWytU82O0zAQviPxDpbvNGlRV1XVdFV2VYRUsSstiLPr2E0kx7Zst0l5AHgDTly4&#10;81x9jv3sJi0CToiLPeMZz8/3zSxuu0aRg3C+Nrqg41FOidDclLXeFfTjh/WrGSU+MF0yZbQo6FF4&#10;ert8+WLR2rmYmMqoUjiCINrPW1vQKgQ7zzLPK9EwPzJWaBilcQ0LUN0uKx1rEb1R2STPb7LWuNI6&#10;w4X3eL0/G+kyxZdS8PAgpReBqIKitpBOl85tPLPlgs13jtmq5n0Z7B+qaFitkfQS6p4FRvau/iNU&#10;U3NnvJFhxE2TGSlrLlIP6Gac/9bNU8WsSL0AHG8vMPn/F5a/Pzw6UpcFnU4p0awBR6dvX0/ff55+&#10;fCF4A0Ct9XP4PVl4hu6N6Qoa3F4MJo/32HonXRNvNEXgArSPF4RFFwjH43g2mc1ymDhsg4IU2fW7&#10;dT68FaYhUSioA4UJWXbY+HB2HVxiNm3WtVKJRqVJW9Cb19M8fbhYEFzp6CvSQPRhYlfn0qMUum3X&#10;t7o15RGdOnMeFm/5ukYpG+bDI3OYDpSPiQ8POKQySGl6iZLKuM9/e4/+IA1WSlpMW0E11oES9U6D&#10;zDiYg+AGYTsIet/cGYzvGJtkeRLxwQU1iNKZ5hPWYBVzSKY8AjPNkQ1EDeJdgNYbsU5crFYXfW9d&#10;vauunzGaloWNfrK8pzqi5+1qH4B2IiFidgYK5EUF85lo7HcpLsCvevK6bvzyG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BYAAABkcnMvUEsB&#10;AhQAFAAAAAgAh07iQLNJWO7QAAAABQEAAA8AAAAAAAAAAQAgAAAAOAAAAGRycy9kb3ducmV2Lnht&#10;bFBLAQIUABQAAAAIAIdO4kDiKQogJAIAADkEAAAOAAAAAAAAAAEAIAAAADUBAABkcnMvZTJvRG9j&#10;LnhtbFBLBQYAAAAABgAGAFkBAADL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43"/>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V33yJAIAADkEAAAOAAAAZHJz&#10;L2Uyb0RvYy54bWytU82O0zAQviPxDpbvNGnRLlXVdFV2VYRUsSsVxNl17CaSY1u226Q8ALwBJy7c&#10;ea4+B5/dpEXACXGxZzzj+fm+mfld1yhyEM7XRhd0PMopEZqbsta7gn54v3oxpcQHpkumjBYFPQpP&#10;7xbPn81bOxMTUxlVCkcQRPtZawtahWBnWeZ5JRrmR8YKDaM0rmEBqttlpWMtojcqm+T5bdYaV1pn&#10;uPAerw9nI12k+FIKHh6l9CIQVVDUFtLp0rmNZ7aYs9nOMVvVvC+D/UMVDas1kl5CPbDAyN7Vf4Rq&#10;au6MNzKMuGkyI2XNReoB3Yzz37rZVMyK1AvA8fYCk/9/Yfm7w5MjdVnQm1eUaNaAo9PXL6dvP07f&#10;PxO8AaDW+hn8NhaeoXttuoIGtxeDyeM9tt5J18QbTRG4AO3jBWHRBcLxOJ5OptMcJg7boCBFdv1u&#10;nQ9vhGlIFArqQGFClh3WPpxdB5eYTZtVrVSiUWnSFvT25U2ePlwsCK509BVpIPowsatz6VEK3bbr&#10;W92a8ohOnTkPi7d8VaOUNfPhiTlMB8rHxIdHHFIZpDS9REll3Ke/vUd/kAYrJS2mraAa60CJeqtB&#10;ZhzMQXCDsB0EvW/uDcZ3jE2yPIn44IIaROlM8xFrsIw5JFMegZnmyAaiBvE+QOuNWCculsuLvreu&#10;3lXXzxhNy8JabyzvqY7oebvcB6CdSIiYnYECeVHBfCYa+12KC/CrnryuG7/4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BYAAABkcnMvUEsB&#10;AhQAFAAAAAgAh07iQLNJWO7QAAAABQEAAA8AAAAAAAAAAQAgAAAAOAAAAGRycy9kb3ducmV2Lnht&#10;bFBLAQIUABQAAAAIAIdO4kAFV33yJAIAADkEAAAOAAAAAAAAAAEAIAAAADUBAABkcnMvZTJvRG9j&#10;LnhtbFBLBQYAAAAABgAGAFkBAADL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035110"/>
    <w:multiLevelType w:val="singleLevel"/>
    <w:tmpl w:val="8C035110"/>
    <w:lvl w:ilvl="0" w:tentative="0">
      <w:start w:val="1"/>
      <w:numFmt w:val="decimal"/>
      <w:suff w:val="nothing"/>
      <w:lvlText w:val="（%1）"/>
      <w:lvlJc w:val="left"/>
      <w:rPr>
        <w:rFonts w:hint="default"/>
        <w:b/>
        <w:bCs/>
      </w:rPr>
    </w:lvl>
  </w:abstractNum>
  <w:abstractNum w:abstractNumId="1">
    <w:nsid w:val="AF7E1CC3"/>
    <w:multiLevelType w:val="singleLevel"/>
    <w:tmpl w:val="AF7E1CC3"/>
    <w:lvl w:ilvl="0" w:tentative="0">
      <w:start w:val="7"/>
      <w:numFmt w:val="chineseCounting"/>
      <w:suff w:val="nothing"/>
      <w:lvlText w:val="%1、"/>
      <w:lvlJc w:val="left"/>
      <w:rPr>
        <w:rFonts w:hint="eastAsia"/>
      </w:rPr>
    </w:lvl>
  </w:abstractNum>
  <w:abstractNum w:abstractNumId="2">
    <w:nsid w:val="67EC897E"/>
    <w:multiLevelType w:val="singleLevel"/>
    <w:tmpl w:val="67EC897E"/>
    <w:lvl w:ilvl="0" w:tentative="0">
      <w:start w:val="3"/>
      <w:numFmt w:val="chineseCounting"/>
      <w:suff w:val="space"/>
      <w:lvlText w:val="第%1部分"/>
      <w:lvlJc w:val="left"/>
      <w:rPr>
        <w:rFonts w:hint="eastAsia"/>
      </w:rPr>
    </w:lvl>
  </w:abstractNum>
  <w:abstractNum w:abstractNumId="3">
    <w:nsid w:val="6FDC5BC4"/>
    <w:multiLevelType w:val="singleLevel"/>
    <w:tmpl w:val="6FDC5BC4"/>
    <w:lvl w:ilvl="0" w:tentative="0">
      <w:start w:val="5"/>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bordersDoNotSurroundHeader w:val="false"/>
  <w:bordersDoNotSurroundFooter w:val="false"/>
  <w:documentProtection w:enforcement="0"/>
  <w:defaultTabStop w:val="500"/>
  <w:hyphenationZone w:val="360"/>
  <w:displayHorizontalDrawingGridEvery w:val="1"/>
  <w:displayVerticalDrawingGridEvery w:val="1"/>
  <w:noPunctuationKerning w:val="true"/>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zOTc2YzBiOGM3MTU4NmUwMGNjNDY4ZWU3MjE2MzgifQ=="/>
  </w:docVars>
  <w:rsids>
    <w:rsidRoot w:val="00172A27"/>
    <w:rsid w:val="00811B33"/>
    <w:rsid w:val="00B80ABA"/>
    <w:rsid w:val="01D367B0"/>
    <w:rsid w:val="03186E16"/>
    <w:rsid w:val="031F12CE"/>
    <w:rsid w:val="03C06C75"/>
    <w:rsid w:val="0437567D"/>
    <w:rsid w:val="04A62A1C"/>
    <w:rsid w:val="04EB157A"/>
    <w:rsid w:val="05557F9E"/>
    <w:rsid w:val="055E0928"/>
    <w:rsid w:val="057C19CF"/>
    <w:rsid w:val="05EB141C"/>
    <w:rsid w:val="060B10B1"/>
    <w:rsid w:val="06C1766F"/>
    <w:rsid w:val="06CA2A4D"/>
    <w:rsid w:val="07BC7642"/>
    <w:rsid w:val="07C37076"/>
    <w:rsid w:val="08016835"/>
    <w:rsid w:val="088A61B1"/>
    <w:rsid w:val="08F37502"/>
    <w:rsid w:val="096D3B08"/>
    <w:rsid w:val="09C01803"/>
    <w:rsid w:val="0A3875B3"/>
    <w:rsid w:val="0B3529BF"/>
    <w:rsid w:val="0BCE541C"/>
    <w:rsid w:val="0BD31C95"/>
    <w:rsid w:val="0BDC2E5A"/>
    <w:rsid w:val="0BDC42A1"/>
    <w:rsid w:val="0BE67BFE"/>
    <w:rsid w:val="0C0D3381"/>
    <w:rsid w:val="0C4D5E57"/>
    <w:rsid w:val="0C6E314A"/>
    <w:rsid w:val="0C711189"/>
    <w:rsid w:val="0CC10150"/>
    <w:rsid w:val="0CD747C4"/>
    <w:rsid w:val="0D2C5A88"/>
    <w:rsid w:val="0D362BC7"/>
    <w:rsid w:val="0D3A1511"/>
    <w:rsid w:val="0D8A6D69"/>
    <w:rsid w:val="0E4C67B7"/>
    <w:rsid w:val="0EC461B2"/>
    <w:rsid w:val="0EF16F8A"/>
    <w:rsid w:val="0EF666C5"/>
    <w:rsid w:val="0F41395C"/>
    <w:rsid w:val="0FFEB1BF"/>
    <w:rsid w:val="101003BE"/>
    <w:rsid w:val="10125409"/>
    <w:rsid w:val="10F27A8D"/>
    <w:rsid w:val="111156C1"/>
    <w:rsid w:val="1112259E"/>
    <w:rsid w:val="112C0BC2"/>
    <w:rsid w:val="114275BB"/>
    <w:rsid w:val="12654562"/>
    <w:rsid w:val="12CD2B69"/>
    <w:rsid w:val="12E053FF"/>
    <w:rsid w:val="13BF04A3"/>
    <w:rsid w:val="13FF5CA5"/>
    <w:rsid w:val="159B2D20"/>
    <w:rsid w:val="15DF5700"/>
    <w:rsid w:val="15F34C9B"/>
    <w:rsid w:val="16161084"/>
    <w:rsid w:val="16571DC8"/>
    <w:rsid w:val="167C0829"/>
    <w:rsid w:val="168B1A72"/>
    <w:rsid w:val="16F15A18"/>
    <w:rsid w:val="17297FA3"/>
    <w:rsid w:val="17D3547E"/>
    <w:rsid w:val="17D47C85"/>
    <w:rsid w:val="17D70E60"/>
    <w:rsid w:val="181A7959"/>
    <w:rsid w:val="18293003"/>
    <w:rsid w:val="187D6E36"/>
    <w:rsid w:val="189D173B"/>
    <w:rsid w:val="18CA0DB3"/>
    <w:rsid w:val="193F5D37"/>
    <w:rsid w:val="198461EC"/>
    <w:rsid w:val="199F592E"/>
    <w:rsid w:val="19D2505F"/>
    <w:rsid w:val="19D65736"/>
    <w:rsid w:val="19FF92C9"/>
    <w:rsid w:val="1A0933D9"/>
    <w:rsid w:val="1A635A00"/>
    <w:rsid w:val="1AEB5E9E"/>
    <w:rsid w:val="1AF552C3"/>
    <w:rsid w:val="1AFFF7C2"/>
    <w:rsid w:val="1B162191"/>
    <w:rsid w:val="1B235307"/>
    <w:rsid w:val="1B67ADBC"/>
    <w:rsid w:val="1B6DD8C9"/>
    <w:rsid w:val="1B942B03"/>
    <w:rsid w:val="1BEFDA14"/>
    <w:rsid w:val="1C3F2643"/>
    <w:rsid w:val="1CB6711D"/>
    <w:rsid w:val="1CB83756"/>
    <w:rsid w:val="1D256A23"/>
    <w:rsid w:val="1D3B4173"/>
    <w:rsid w:val="1D6B0D8A"/>
    <w:rsid w:val="1D9751A0"/>
    <w:rsid w:val="1DB769A0"/>
    <w:rsid w:val="1DBF41B6"/>
    <w:rsid w:val="1E780978"/>
    <w:rsid w:val="1EED497B"/>
    <w:rsid w:val="1EF716C7"/>
    <w:rsid w:val="1EF7F18D"/>
    <w:rsid w:val="1F1930E1"/>
    <w:rsid w:val="1F5B7F49"/>
    <w:rsid w:val="2059498F"/>
    <w:rsid w:val="207532D8"/>
    <w:rsid w:val="207F6FD1"/>
    <w:rsid w:val="20BD0AAB"/>
    <w:rsid w:val="218C7A61"/>
    <w:rsid w:val="21C308CD"/>
    <w:rsid w:val="221120D6"/>
    <w:rsid w:val="22837731"/>
    <w:rsid w:val="22A50181"/>
    <w:rsid w:val="242F25F6"/>
    <w:rsid w:val="24723B1E"/>
    <w:rsid w:val="2493C343"/>
    <w:rsid w:val="250B1CD7"/>
    <w:rsid w:val="25287580"/>
    <w:rsid w:val="25717417"/>
    <w:rsid w:val="25BE7642"/>
    <w:rsid w:val="26367D15"/>
    <w:rsid w:val="268B48C8"/>
    <w:rsid w:val="26EE58C2"/>
    <w:rsid w:val="27571BCF"/>
    <w:rsid w:val="28BD46CD"/>
    <w:rsid w:val="28BF7C4C"/>
    <w:rsid w:val="298846CE"/>
    <w:rsid w:val="2A9B554B"/>
    <w:rsid w:val="2AAD6003"/>
    <w:rsid w:val="2AF43159"/>
    <w:rsid w:val="2AF754D0"/>
    <w:rsid w:val="2B15E405"/>
    <w:rsid w:val="2B463020"/>
    <w:rsid w:val="2B993625"/>
    <w:rsid w:val="2BA32F62"/>
    <w:rsid w:val="2BA61F9B"/>
    <w:rsid w:val="2BB37E05"/>
    <w:rsid w:val="2BEE084D"/>
    <w:rsid w:val="2BEE91CB"/>
    <w:rsid w:val="2BFBB15E"/>
    <w:rsid w:val="2BFFE438"/>
    <w:rsid w:val="2C153E60"/>
    <w:rsid w:val="2C1C6883"/>
    <w:rsid w:val="2C1F593D"/>
    <w:rsid w:val="2C5A20C2"/>
    <w:rsid w:val="2C6C56D1"/>
    <w:rsid w:val="2C8EAA73"/>
    <w:rsid w:val="2CB3185C"/>
    <w:rsid w:val="2CFC85D9"/>
    <w:rsid w:val="2DB70B7D"/>
    <w:rsid w:val="2DB84559"/>
    <w:rsid w:val="2DD45655"/>
    <w:rsid w:val="2DE0730B"/>
    <w:rsid w:val="2E5255B6"/>
    <w:rsid w:val="2E9F5C62"/>
    <w:rsid w:val="2EA47A04"/>
    <w:rsid w:val="2ECD0A22"/>
    <w:rsid w:val="2EE969FC"/>
    <w:rsid w:val="2EFCE39E"/>
    <w:rsid w:val="2F376C7D"/>
    <w:rsid w:val="2F4278AB"/>
    <w:rsid w:val="2F9D8676"/>
    <w:rsid w:val="2FF57235"/>
    <w:rsid w:val="30EFCF9E"/>
    <w:rsid w:val="31606DE6"/>
    <w:rsid w:val="31891E09"/>
    <w:rsid w:val="31E86300"/>
    <w:rsid w:val="32225135"/>
    <w:rsid w:val="323A4620"/>
    <w:rsid w:val="32D971F4"/>
    <w:rsid w:val="32E60304"/>
    <w:rsid w:val="33332E1D"/>
    <w:rsid w:val="3358635E"/>
    <w:rsid w:val="3371263C"/>
    <w:rsid w:val="337770BE"/>
    <w:rsid w:val="33890C8F"/>
    <w:rsid w:val="33AB7F5E"/>
    <w:rsid w:val="346028C4"/>
    <w:rsid w:val="3482405C"/>
    <w:rsid w:val="34B32468"/>
    <w:rsid w:val="34C6A200"/>
    <w:rsid w:val="34CE54F3"/>
    <w:rsid w:val="34E20BE4"/>
    <w:rsid w:val="3533148C"/>
    <w:rsid w:val="35767E4C"/>
    <w:rsid w:val="35843E04"/>
    <w:rsid w:val="35B79C66"/>
    <w:rsid w:val="35EE5BA6"/>
    <w:rsid w:val="360213B8"/>
    <w:rsid w:val="369C7AE4"/>
    <w:rsid w:val="3701073A"/>
    <w:rsid w:val="37024756"/>
    <w:rsid w:val="371061D0"/>
    <w:rsid w:val="371F5B92"/>
    <w:rsid w:val="37761399"/>
    <w:rsid w:val="377FDC40"/>
    <w:rsid w:val="37A442EA"/>
    <w:rsid w:val="37AF26BB"/>
    <w:rsid w:val="37DF074B"/>
    <w:rsid w:val="37E01C2F"/>
    <w:rsid w:val="37ED4613"/>
    <w:rsid w:val="380B4369"/>
    <w:rsid w:val="38A8605B"/>
    <w:rsid w:val="3902397E"/>
    <w:rsid w:val="398443D3"/>
    <w:rsid w:val="39940DC2"/>
    <w:rsid w:val="3A05261C"/>
    <w:rsid w:val="3A404F77"/>
    <w:rsid w:val="3A45787E"/>
    <w:rsid w:val="3AAC696C"/>
    <w:rsid w:val="3AB76BEF"/>
    <w:rsid w:val="3ACD3B57"/>
    <w:rsid w:val="3B5F6B9C"/>
    <w:rsid w:val="3C463F67"/>
    <w:rsid w:val="3CAA4783"/>
    <w:rsid w:val="3CB427F8"/>
    <w:rsid w:val="3CC57C55"/>
    <w:rsid w:val="3CE33644"/>
    <w:rsid w:val="3CEA5242"/>
    <w:rsid w:val="3CFA48FF"/>
    <w:rsid w:val="3D0044E2"/>
    <w:rsid w:val="3D5551D3"/>
    <w:rsid w:val="3DB7E7BE"/>
    <w:rsid w:val="3DBF9D8E"/>
    <w:rsid w:val="3DCF0B5D"/>
    <w:rsid w:val="3DD1764D"/>
    <w:rsid w:val="3DDFE950"/>
    <w:rsid w:val="3DFB880D"/>
    <w:rsid w:val="3DFFE1DF"/>
    <w:rsid w:val="3E175815"/>
    <w:rsid w:val="3E205266"/>
    <w:rsid w:val="3E2B04FB"/>
    <w:rsid w:val="3ED01510"/>
    <w:rsid w:val="3ED82595"/>
    <w:rsid w:val="3EFB2D97"/>
    <w:rsid w:val="3EFF0FF4"/>
    <w:rsid w:val="3EFFDFFD"/>
    <w:rsid w:val="3F1C009E"/>
    <w:rsid w:val="3F5332B4"/>
    <w:rsid w:val="3F6FD379"/>
    <w:rsid w:val="3F7D3FC8"/>
    <w:rsid w:val="3F9B4C08"/>
    <w:rsid w:val="3FAE717F"/>
    <w:rsid w:val="3FBF14CF"/>
    <w:rsid w:val="3FEBC489"/>
    <w:rsid w:val="3FF38A19"/>
    <w:rsid w:val="3FF434E8"/>
    <w:rsid w:val="3FFD4BB2"/>
    <w:rsid w:val="40953988"/>
    <w:rsid w:val="40EA3A10"/>
    <w:rsid w:val="41395AA3"/>
    <w:rsid w:val="414B8DB7"/>
    <w:rsid w:val="414D1B90"/>
    <w:rsid w:val="41BB2BAE"/>
    <w:rsid w:val="42097948"/>
    <w:rsid w:val="421C10A0"/>
    <w:rsid w:val="42291F26"/>
    <w:rsid w:val="42295A6F"/>
    <w:rsid w:val="422B72EA"/>
    <w:rsid w:val="42A32941"/>
    <w:rsid w:val="42CB6BCE"/>
    <w:rsid w:val="42F15886"/>
    <w:rsid w:val="432141DC"/>
    <w:rsid w:val="432179AF"/>
    <w:rsid w:val="432B58BF"/>
    <w:rsid w:val="4355293C"/>
    <w:rsid w:val="43BD05A2"/>
    <w:rsid w:val="4400516B"/>
    <w:rsid w:val="440C6F17"/>
    <w:rsid w:val="45072E43"/>
    <w:rsid w:val="45354A18"/>
    <w:rsid w:val="456047D1"/>
    <w:rsid w:val="457E43CC"/>
    <w:rsid w:val="459F19AA"/>
    <w:rsid w:val="463477F9"/>
    <w:rsid w:val="47091970"/>
    <w:rsid w:val="471C5485"/>
    <w:rsid w:val="4744772E"/>
    <w:rsid w:val="474D5B4F"/>
    <w:rsid w:val="477EE8D7"/>
    <w:rsid w:val="478728E5"/>
    <w:rsid w:val="47A7BA3C"/>
    <w:rsid w:val="47F987E2"/>
    <w:rsid w:val="47FFEB21"/>
    <w:rsid w:val="48CB0DE0"/>
    <w:rsid w:val="48FC689B"/>
    <w:rsid w:val="493B1763"/>
    <w:rsid w:val="494554C8"/>
    <w:rsid w:val="4957740E"/>
    <w:rsid w:val="4A2A1330"/>
    <w:rsid w:val="4A2F3EE7"/>
    <w:rsid w:val="4A370177"/>
    <w:rsid w:val="4A443AD2"/>
    <w:rsid w:val="4A4564DD"/>
    <w:rsid w:val="4A464D4F"/>
    <w:rsid w:val="4AA20AE3"/>
    <w:rsid w:val="4ABB51BC"/>
    <w:rsid w:val="4AD3399F"/>
    <w:rsid w:val="4AFD3D3B"/>
    <w:rsid w:val="4B266331"/>
    <w:rsid w:val="4B314A91"/>
    <w:rsid w:val="4B6677A2"/>
    <w:rsid w:val="4BE252AC"/>
    <w:rsid w:val="4BF58CAF"/>
    <w:rsid w:val="4C01050A"/>
    <w:rsid w:val="4C104565"/>
    <w:rsid w:val="4C3B2CFF"/>
    <w:rsid w:val="4C840BE5"/>
    <w:rsid w:val="4CAFB008"/>
    <w:rsid w:val="4CB51EBC"/>
    <w:rsid w:val="4D726304"/>
    <w:rsid w:val="4E257ADB"/>
    <w:rsid w:val="4E27247B"/>
    <w:rsid w:val="4E997F86"/>
    <w:rsid w:val="4EE80A90"/>
    <w:rsid w:val="4F0C27C8"/>
    <w:rsid w:val="4F4239C3"/>
    <w:rsid w:val="4F97EF6A"/>
    <w:rsid w:val="4FA80B89"/>
    <w:rsid w:val="4FB793B5"/>
    <w:rsid w:val="4FF305EB"/>
    <w:rsid w:val="50E70FD9"/>
    <w:rsid w:val="50E9730A"/>
    <w:rsid w:val="50F66BD8"/>
    <w:rsid w:val="50F77179"/>
    <w:rsid w:val="511D25EC"/>
    <w:rsid w:val="512C66B9"/>
    <w:rsid w:val="517A4997"/>
    <w:rsid w:val="51B21479"/>
    <w:rsid w:val="51E20A16"/>
    <w:rsid w:val="51E67840"/>
    <w:rsid w:val="52065E75"/>
    <w:rsid w:val="52132829"/>
    <w:rsid w:val="525A1FBE"/>
    <w:rsid w:val="525C2A06"/>
    <w:rsid w:val="52B8461B"/>
    <w:rsid w:val="52BE2226"/>
    <w:rsid w:val="52E03359"/>
    <w:rsid w:val="530356A5"/>
    <w:rsid w:val="53607807"/>
    <w:rsid w:val="53AA50E8"/>
    <w:rsid w:val="53B678AE"/>
    <w:rsid w:val="53D666F2"/>
    <w:rsid w:val="53FC7930"/>
    <w:rsid w:val="53FD98A5"/>
    <w:rsid w:val="545F361A"/>
    <w:rsid w:val="54CC36E0"/>
    <w:rsid w:val="55E76541"/>
    <w:rsid w:val="562A4548"/>
    <w:rsid w:val="567F93D9"/>
    <w:rsid w:val="56A1020F"/>
    <w:rsid w:val="56EE19E0"/>
    <w:rsid w:val="56FFB267"/>
    <w:rsid w:val="57201787"/>
    <w:rsid w:val="57265DB1"/>
    <w:rsid w:val="572A6162"/>
    <w:rsid w:val="5745664B"/>
    <w:rsid w:val="57AE0B41"/>
    <w:rsid w:val="57BD5288"/>
    <w:rsid w:val="57E45BF3"/>
    <w:rsid w:val="58550646"/>
    <w:rsid w:val="58735D76"/>
    <w:rsid w:val="5914045F"/>
    <w:rsid w:val="5953CEF9"/>
    <w:rsid w:val="59923010"/>
    <w:rsid w:val="59A66AF9"/>
    <w:rsid w:val="59AF5758"/>
    <w:rsid w:val="59DD570D"/>
    <w:rsid w:val="5A243E5E"/>
    <w:rsid w:val="5A271655"/>
    <w:rsid w:val="5A7D7415"/>
    <w:rsid w:val="5B1A2FCF"/>
    <w:rsid w:val="5B851C07"/>
    <w:rsid w:val="5B9C6E4B"/>
    <w:rsid w:val="5BBE6185"/>
    <w:rsid w:val="5BDE39BF"/>
    <w:rsid w:val="5BDE751B"/>
    <w:rsid w:val="5BEBF33E"/>
    <w:rsid w:val="5BFF0DF8"/>
    <w:rsid w:val="5C457563"/>
    <w:rsid w:val="5C7865BF"/>
    <w:rsid w:val="5C7E4398"/>
    <w:rsid w:val="5C7ED29C"/>
    <w:rsid w:val="5C9C40D9"/>
    <w:rsid w:val="5CB63FF4"/>
    <w:rsid w:val="5CEB1EEF"/>
    <w:rsid w:val="5D4053B1"/>
    <w:rsid w:val="5DAEB972"/>
    <w:rsid w:val="5DD902EB"/>
    <w:rsid w:val="5DDC6B20"/>
    <w:rsid w:val="5DF53817"/>
    <w:rsid w:val="5DFE83F5"/>
    <w:rsid w:val="5E855ADD"/>
    <w:rsid w:val="5E9ED41D"/>
    <w:rsid w:val="5E9FA503"/>
    <w:rsid w:val="5E9FFC05"/>
    <w:rsid w:val="5EFD48F6"/>
    <w:rsid w:val="5F5BB667"/>
    <w:rsid w:val="5F74930B"/>
    <w:rsid w:val="5F7B7689"/>
    <w:rsid w:val="5F8C5139"/>
    <w:rsid w:val="5F9C6170"/>
    <w:rsid w:val="5FBB0673"/>
    <w:rsid w:val="5FDF2110"/>
    <w:rsid w:val="5FE99DF6"/>
    <w:rsid w:val="5FF536AB"/>
    <w:rsid w:val="5FFC3AF9"/>
    <w:rsid w:val="5FFEC0FA"/>
    <w:rsid w:val="5FFF93C9"/>
    <w:rsid w:val="60193217"/>
    <w:rsid w:val="60276C8B"/>
    <w:rsid w:val="605B5BB1"/>
    <w:rsid w:val="615C7A88"/>
    <w:rsid w:val="61643A86"/>
    <w:rsid w:val="616E7593"/>
    <w:rsid w:val="61CC7843"/>
    <w:rsid w:val="62B72AF3"/>
    <w:rsid w:val="62C531E2"/>
    <w:rsid w:val="62D17DD9"/>
    <w:rsid w:val="63350368"/>
    <w:rsid w:val="63A41FA1"/>
    <w:rsid w:val="63FA4771"/>
    <w:rsid w:val="641461CF"/>
    <w:rsid w:val="64B20619"/>
    <w:rsid w:val="65282E1C"/>
    <w:rsid w:val="65D82521"/>
    <w:rsid w:val="65EE65C3"/>
    <w:rsid w:val="65FA7B6A"/>
    <w:rsid w:val="662B33FC"/>
    <w:rsid w:val="663E4428"/>
    <w:rsid w:val="66F61BBC"/>
    <w:rsid w:val="67082C0B"/>
    <w:rsid w:val="67095C9F"/>
    <w:rsid w:val="670C10DA"/>
    <w:rsid w:val="67306910"/>
    <w:rsid w:val="675EAC10"/>
    <w:rsid w:val="67649A1C"/>
    <w:rsid w:val="676D7DBD"/>
    <w:rsid w:val="677FA31C"/>
    <w:rsid w:val="679E47ED"/>
    <w:rsid w:val="67BB2408"/>
    <w:rsid w:val="67CFD60A"/>
    <w:rsid w:val="67DFC052"/>
    <w:rsid w:val="67EF5C8A"/>
    <w:rsid w:val="67F3CD23"/>
    <w:rsid w:val="68ED3493"/>
    <w:rsid w:val="690D6338"/>
    <w:rsid w:val="69377D3D"/>
    <w:rsid w:val="69B1626F"/>
    <w:rsid w:val="69D23E7A"/>
    <w:rsid w:val="69E53182"/>
    <w:rsid w:val="69EC748F"/>
    <w:rsid w:val="6A07BBA4"/>
    <w:rsid w:val="6A2E78BF"/>
    <w:rsid w:val="6A426762"/>
    <w:rsid w:val="6A6B16AF"/>
    <w:rsid w:val="6A765429"/>
    <w:rsid w:val="6B037D88"/>
    <w:rsid w:val="6B0C428F"/>
    <w:rsid w:val="6B3F5B78"/>
    <w:rsid w:val="6B5C6C72"/>
    <w:rsid w:val="6B5E6AED"/>
    <w:rsid w:val="6BBDBE07"/>
    <w:rsid w:val="6BC33710"/>
    <w:rsid w:val="6BDD69B4"/>
    <w:rsid w:val="6BE46752"/>
    <w:rsid w:val="6BFBF3BE"/>
    <w:rsid w:val="6C5B0310"/>
    <w:rsid w:val="6C8A08DD"/>
    <w:rsid w:val="6CFBB0FC"/>
    <w:rsid w:val="6CFF5B63"/>
    <w:rsid w:val="6CFFFA46"/>
    <w:rsid w:val="6DA633B9"/>
    <w:rsid w:val="6DA99204"/>
    <w:rsid w:val="6DCB0228"/>
    <w:rsid w:val="6DD04326"/>
    <w:rsid w:val="6DF61A8E"/>
    <w:rsid w:val="6DFF29E8"/>
    <w:rsid w:val="6E3F02ED"/>
    <w:rsid w:val="6E6D0593"/>
    <w:rsid w:val="6EA6036C"/>
    <w:rsid w:val="6EC5279D"/>
    <w:rsid w:val="6EEA677E"/>
    <w:rsid w:val="6EFBF436"/>
    <w:rsid w:val="6F03131A"/>
    <w:rsid w:val="6F5F4933"/>
    <w:rsid w:val="6F770726"/>
    <w:rsid w:val="6F7A9139"/>
    <w:rsid w:val="6FBFCA69"/>
    <w:rsid w:val="6FD3019F"/>
    <w:rsid w:val="6FDF535C"/>
    <w:rsid w:val="6FDFEDB0"/>
    <w:rsid w:val="6FF51991"/>
    <w:rsid w:val="6FFA789D"/>
    <w:rsid w:val="70186278"/>
    <w:rsid w:val="70635A52"/>
    <w:rsid w:val="70885138"/>
    <w:rsid w:val="70B57E86"/>
    <w:rsid w:val="70BB180A"/>
    <w:rsid w:val="70F471F4"/>
    <w:rsid w:val="70F85E3F"/>
    <w:rsid w:val="71720E8B"/>
    <w:rsid w:val="71FBBDDD"/>
    <w:rsid w:val="72001B41"/>
    <w:rsid w:val="724F62F2"/>
    <w:rsid w:val="726B45D2"/>
    <w:rsid w:val="7278156F"/>
    <w:rsid w:val="72A85598"/>
    <w:rsid w:val="72AD70AA"/>
    <w:rsid w:val="730142DB"/>
    <w:rsid w:val="730F425B"/>
    <w:rsid w:val="736F692D"/>
    <w:rsid w:val="737F251F"/>
    <w:rsid w:val="739FB983"/>
    <w:rsid w:val="73C80E5A"/>
    <w:rsid w:val="73E77080"/>
    <w:rsid w:val="73FF356B"/>
    <w:rsid w:val="74A0760B"/>
    <w:rsid w:val="74CC0400"/>
    <w:rsid w:val="757FD81D"/>
    <w:rsid w:val="75D68BA0"/>
    <w:rsid w:val="75F52AE9"/>
    <w:rsid w:val="75FE6EED"/>
    <w:rsid w:val="7638355C"/>
    <w:rsid w:val="7655EEAE"/>
    <w:rsid w:val="76AF597B"/>
    <w:rsid w:val="76D04096"/>
    <w:rsid w:val="76D978E6"/>
    <w:rsid w:val="76DB80B2"/>
    <w:rsid w:val="77183A8C"/>
    <w:rsid w:val="77244524"/>
    <w:rsid w:val="7735DFA5"/>
    <w:rsid w:val="7759B05D"/>
    <w:rsid w:val="7768EB63"/>
    <w:rsid w:val="77B33DC6"/>
    <w:rsid w:val="77B733D1"/>
    <w:rsid w:val="77BD24EA"/>
    <w:rsid w:val="77DFF33F"/>
    <w:rsid w:val="77EC1B4F"/>
    <w:rsid w:val="77F74095"/>
    <w:rsid w:val="77FD78B1"/>
    <w:rsid w:val="77FF8322"/>
    <w:rsid w:val="780569CD"/>
    <w:rsid w:val="78A029DA"/>
    <w:rsid w:val="791A27AA"/>
    <w:rsid w:val="791F6F4C"/>
    <w:rsid w:val="792845C8"/>
    <w:rsid w:val="79AE6F33"/>
    <w:rsid w:val="79AFC65D"/>
    <w:rsid w:val="79BD47BC"/>
    <w:rsid w:val="79EF9128"/>
    <w:rsid w:val="79F16810"/>
    <w:rsid w:val="7A291E51"/>
    <w:rsid w:val="7AFE3DBA"/>
    <w:rsid w:val="7B2F4314"/>
    <w:rsid w:val="7B6A00F6"/>
    <w:rsid w:val="7B6D3975"/>
    <w:rsid w:val="7B6FC110"/>
    <w:rsid w:val="7B7773FA"/>
    <w:rsid w:val="7B77E14C"/>
    <w:rsid w:val="7B9BCB42"/>
    <w:rsid w:val="7BA24140"/>
    <w:rsid w:val="7BAD2234"/>
    <w:rsid w:val="7BB97247"/>
    <w:rsid w:val="7BBB1E74"/>
    <w:rsid w:val="7BBE0247"/>
    <w:rsid w:val="7BD710CD"/>
    <w:rsid w:val="7BF715C4"/>
    <w:rsid w:val="7BFD04A7"/>
    <w:rsid w:val="7BFF8597"/>
    <w:rsid w:val="7C17117F"/>
    <w:rsid w:val="7C775692"/>
    <w:rsid w:val="7C915020"/>
    <w:rsid w:val="7CDB3151"/>
    <w:rsid w:val="7CDBBC67"/>
    <w:rsid w:val="7CDDD3DF"/>
    <w:rsid w:val="7CDF8B09"/>
    <w:rsid w:val="7CDFB5C9"/>
    <w:rsid w:val="7CEE1BD0"/>
    <w:rsid w:val="7CEF216F"/>
    <w:rsid w:val="7CFF2490"/>
    <w:rsid w:val="7CFFDC51"/>
    <w:rsid w:val="7D182BA5"/>
    <w:rsid w:val="7D2741AA"/>
    <w:rsid w:val="7D33941B"/>
    <w:rsid w:val="7D3D7C6E"/>
    <w:rsid w:val="7D3F0B9C"/>
    <w:rsid w:val="7D4449A0"/>
    <w:rsid w:val="7D5F1DD8"/>
    <w:rsid w:val="7D756604"/>
    <w:rsid w:val="7D7FC5AD"/>
    <w:rsid w:val="7D8EFAAD"/>
    <w:rsid w:val="7DBD5CA0"/>
    <w:rsid w:val="7DBE94F4"/>
    <w:rsid w:val="7DBFE92D"/>
    <w:rsid w:val="7DEA6C6B"/>
    <w:rsid w:val="7DF5010A"/>
    <w:rsid w:val="7DFA2CB0"/>
    <w:rsid w:val="7DFB3F42"/>
    <w:rsid w:val="7DFBD435"/>
    <w:rsid w:val="7DFF30A9"/>
    <w:rsid w:val="7DFFB239"/>
    <w:rsid w:val="7DFFB6EE"/>
    <w:rsid w:val="7E140A15"/>
    <w:rsid w:val="7E207D15"/>
    <w:rsid w:val="7E340477"/>
    <w:rsid w:val="7E37DA01"/>
    <w:rsid w:val="7E4F632A"/>
    <w:rsid w:val="7E966F62"/>
    <w:rsid w:val="7E9EF2E0"/>
    <w:rsid w:val="7EA67200"/>
    <w:rsid w:val="7EAB1878"/>
    <w:rsid w:val="7EBF1DEC"/>
    <w:rsid w:val="7EDB2923"/>
    <w:rsid w:val="7EDEF6DE"/>
    <w:rsid w:val="7EDF60FF"/>
    <w:rsid w:val="7EE00E31"/>
    <w:rsid w:val="7EE77918"/>
    <w:rsid w:val="7EEBCB9A"/>
    <w:rsid w:val="7EEECDD8"/>
    <w:rsid w:val="7EF5211E"/>
    <w:rsid w:val="7EF5C798"/>
    <w:rsid w:val="7EFAE516"/>
    <w:rsid w:val="7EFBED38"/>
    <w:rsid w:val="7F222E43"/>
    <w:rsid w:val="7F3E4A36"/>
    <w:rsid w:val="7F434EB4"/>
    <w:rsid w:val="7F484B27"/>
    <w:rsid w:val="7F4F4AB6"/>
    <w:rsid w:val="7F5FBAA4"/>
    <w:rsid w:val="7F5FDDF0"/>
    <w:rsid w:val="7F6343F3"/>
    <w:rsid w:val="7F6C6E60"/>
    <w:rsid w:val="7F7708D7"/>
    <w:rsid w:val="7F771E2D"/>
    <w:rsid w:val="7F7D2AB2"/>
    <w:rsid w:val="7F8A61AD"/>
    <w:rsid w:val="7F8EB7AB"/>
    <w:rsid w:val="7F9FBD94"/>
    <w:rsid w:val="7FB78441"/>
    <w:rsid w:val="7FBD0AD7"/>
    <w:rsid w:val="7FCF638D"/>
    <w:rsid w:val="7FD59295"/>
    <w:rsid w:val="7FD9C43A"/>
    <w:rsid w:val="7FDD81B4"/>
    <w:rsid w:val="7FDF1927"/>
    <w:rsid w:val="7FDFB410"/>
    <w:rsid w:val="7FDFC015"/>
    <w:rsid w:val="7FEB41F1"/>
    <w:rsid w:val="7FEDAEFA"/>
    <w:rsid w:val="7FEEEDD1"/>
    <w:rsid w:val="7FEFC631"/>
    <w:rsid w:val="7FF127B5"/>
    <w:rsid w:val="7FF558FE"/>
    <w:rsid w:val="7FF5A97E"/>
    <w:rsid w:val="7FF727CE"/>
    <w:rsid w:val="7FF7DF9E"/>
    <w:rsid w:val="7FFDED18"/>
    <w:rsid w:val="7FFF1BC4"/>
    <w:rsid w:val="7FFF60C8"/>
    <w:rsid w:val="7FFF62F0"/>
    <w:rsid w:val="7FFF7DC7"/>
    <w:rsid w:val="7FFFF39D"/>
    <w:rsid w:val="896CE057"/>
    <w:rsid w:val="8D6B2417"/>
    <w:rsid w:val="8F25F96F"/>
    <w:rsid w:val="8FCD41E0"/>
    <w:rsid w:val="95DD9B60"/>
    <w:rsid w:val="9724F242"/>
    <w:rsid w:val="9A7867B0"/>
    <w:rsid w:val="9B3B7D44"/>
    <w:rsid w:val="9BCF353E"/>
    <w:rsid w:val="9BDD7CFF"/>
    <w:rsid w:val="9DB32C05"/>
    <w:rsid w:val="9E85E5EB"/>
    <w:rsid w:val="9ED7B84A"/>
    <w:rsid w:val="9FEDF386"/>
    <w:rsid w:val="9FF9E541"/>
    <w:rsid w:val="9FFE71BE"/>
    <w:rsid w:val="A37AC6D0"/>
    <w:rsid w:val="AAAFA49F"/>
    <w:rsid w:val="ACEF4A34"/>
    <w:rsid w:val="AD6F62A3"/>
    <w:rsid w:val="AFAB1E4E"/>
    <w:rsid w:val="AFDBA861"/>
    <w:rsid w:val="AFE79B26"/>
    <w:rsid w:val="AFFFA0E8"/>
    <w:rsid w:val="B1FECF98"/>
    <w:rsid w:val="B3AF79E5"/>
    <w:rsid w:val="B3AF7B8A"/>
    <w:rsid w:val="B3F70782"/>
    <w:rsid w:val="B5CD4F04"/>
    <w:rsid w:val="B62F3C99"/>
    <w:rsid w:val="B756DA4E"/>
    <w:rsid w:val="B77F8F01"/>
    <w:rsid w:val="B7EF85FB"/>
    <w:rsid w:val="B7F9C6DB"/>
    <w:rsid w:val="B9FF51EB"/>
    <w:rsid w:val="BA7B23C6"/>
    <w:rsid w:val="BB1ED086"/>
    <w:rsid w:val="BB5892B7"/>
    <w:rsid w:val="BB7A38BD"/>
    <w:rsid w:val="BCEF4DBA"/>
    <w:rsid w:val="BDFF5857"/>
    <w:rsid w:val="BDFFE8D8"/>
    <w:rsid w:val="BE7BCB83"/>
    <w:rsid w:val="BEAF8F93"/>
    <w:rsid w:val="BEE4EFD2"/>
    <w:rsid w:val="BEFB3D53"/>
    <w:rsid w:val="BEFED66F"/>
    <w:rsid w:val="BF5FE9F9"/>
    <w:rsid w:val="BF797AC6"/>
    <w:rsid w:val="BF85F824"/>
    <w:rsid w:val="BF953C50"/>
    <w:rsid w:val="BFBFCA00"/>
    <w:rsid w:val="BFCDBC8E"/>
    <w:rsid w:val="BFDB3AF5"/>
    <w:rsid w:val="BFFD3534"/>
    <w:rsid w:val="BFFFD33D"/>
    <w:rsid w:val="BFFFDAB6"/>
    <w:rsid w:val="C7F7EB8B"/>
    <w:rsid w:val="C83F2E0C"/>
    <w:rsid w:val="C9F58863"/>
    <w:rsid w:val="CBB5E233"/>
    <w:rsid w:val="CBEAC4E8"/>
    <w:rsid w:val="CC725073"/>
    <w:rsid w:val="CCFB3446"/>
    <w:rsid w:val="CD3F54C6"/>
    <w:rsid w:val="CDFEE27E"/>
    <w:rsid w:val="CEF527BC"/>
    <w:rsid w:val="CEFFE5C1"/>
    <w:rsid w:val="CFDE3338"/>
    <w:rsid w:val="D0FE7EC1"/>
    <w:rsid w:val="D559B507"/>
    <w:rsid w:val="D5DDB5C9"/>
    <w:rsid w:val="D7FEE36E"/>
    <w:rsid w:val="D7FF976C"/>
    <w:rsid w:val="DABFB960"/>
    <w:rsid w:val="DAFBF1AC"/>
    <w:rsid w:val="DB5CD9C8"/>
    <w:rsid w:val="DB7FF45B"/>
    <w:rsid w:val="DBDEEC99"/>
    <w:rsid w:val="DBF7F318"/>
    <w:rsid w:val="DBFFB61F"/>
    <w:rsid w:val="DC7F3A2F"/>
    <w:rsid w:val="DD3CC449"/>
    <w:rsid w:val="DDECB2BD"/>
    <w:rsid w:val="DDEDDB78"/>
    <w:rsid w:val="DEF73C0E"/>
    <w:rsid w:val="DF1AB466"/>
    <w:rsid w:val="DF3FC892"/>
    <w:rsid w:val="DF4E9676"/>
    <w:rsid w:val="DF765CBF"/>
    <w:rsid w:val="DF7D0D83"/>
    <w:rsid w:val="DF7F116C"/>
    <w:rsid w:val="DF9F2DA7"/>
    <w:rsid w:val="DFBF8C3C"/>
    <w:rsid w:val="DFD68420"/>
    <w:rsid w:val="DFF7B5E5"/>
    <w:rsid w:val="DFF7B834"/>
    <w:rsid w:val="DFFF8F45"/>
    <w:rsid w:val="E36C921A"/>
    <w:rsid w:val="E61E13F2"/>
    <w:rsid w:val="E99F944E"/>
    <w:rsid w:val="E9BF6248"/>
    <w:rsid w:val="E9FF7098"/>
    <w:rsid w:val="EA2BBBBF"/>
    <w:rsid w:val="EB8FDE23"/>
    <w:rsid w:val="EBDE99B9"/>
    <w:rsid w:val="EBFC749A"/>
    <w:rsid w:val="EBFF0FAA"/>
    <w:rsid w:val="ECDB0767"/>
    <w:rsid w:val="ECF90CDC"/>
    <w:rsid w:val="ECFB83DF"/>
    <w:rsid w:val="ED7F5BE9"/>
    <w:rsid w:val="ED7F8AD9"/>
    <w:rsid w:val="EDDB717E"/>
    <w:rsid w:val="EDDF5E57"/>
    <w:rsid w:val="EDE019DA"/>
    <w:rsid w:val="EDEB4278"/>
    <w:rsid w:val="EECCFADF"/>
    <w:rsid w:val="EEFA67BC"/>
    <w:rsid w:val="EF9FE985"/>
    <w:rsid w:val="EFAF2EFB"/>
    <w:rsid w:val="EFB9719E"/>
    <w:rsid w:val="EFBFC1E4"/>
    <w:rsid w:val="EFBFD6F4"/>
    <w:rsid w:val="EFDD871D"/>
    <w:rsid w:val="EFF77B4B"/>
    <w:rsid w:val="EFFAF011"/>
    <w:rsid w:val="F1FE61AC"/>
    <w:rsid w:val="F32F65A8"/>
    <w:rsid w:val="F397C7A6"/>
    <w:rsid w:val="F3DF5194"/>
    <w:rsid w:val="F3E5BE96"/>
    <w:rsid w:val="F3FF6A2D"/>
    <w:rsid w:val="F55B19B5"/>
    <w:rsid w:val="F5F84A71"/>
    <w:rsid w:val="F5FFFA2E"/>
    <w:rsid w:val="F6413A87"/>
    <w:rsid w:val="F6BA26BB"/>
    <w:rsid w:val="F6DF2F32"/>
    <w:rsid w:val="F73F04A2"/>
    <w:rsid w:val="F77B4923"/>
    <w:rsid w:val="F77E3443"/>
    <w:rsid w:val="F7AF3C9E"/>
    <w:rsid w:val="F7B7FA04"/>
    <w:rsid w:val="F7BFF52E"/>
    <w:rsid w:val="F7D7EE6A"/>
    <w:rsid w:val="F7ECFF5A"/>
    <w:rsid w:val="F7EFA562"/>
    <w:rsid w:val="F7EFB4B0"/>
    <w:rsid w:val="F7F32454"/>
    <w:rsid w:val="F7F72F3D"/>
    <w:rsid w:val="F7FB8C1A"/>
    <w:rsid w:val="F7FBD92C"/>
    <w:rsid w:val="F8FD1472"/>
    <w:rsid w:val="F9A6CA94"/>
    <w:rsid w:val="F9CBB443"/>
    <w:rsid w:val="F9CF5E9B"/>
    <w:rsid w:val="F9DB24F9"/>
    <w:rsid w:val="F9F72E0B"/>
    <w:rsid w:val="F9F7448C"/>
    <w:rsid w:val="F9FF3C46"/>
    <w:rsid w:val="FAF41D82"/>
    <w:rsid w:val="FAFE93E5"/>
    <w:rsid w:val="FB6F660B"/>
    <w:rsid w:val="FB7120D7"/>
    <w:rsid w:val="FB77DCD7"/>
    <w:rsid w:val="FBBB3474"/>
    <w:rsid w:val="FBFB06E9"/>
    <w:rsid w:val="FBFDDDD4"/>
    <w:rsid w:val="FBFF13C1"/>
    <w:rsid w:val="FBFF8A3C"/>
    <w:rsid w:val="FC91AC33"/>
    <w:rsid w:val="FCE375D3"/>
    <w:rsid w:val="FD13DBF8"/>
    <w:rsid w:val="FD338641"/>
    <w:rsid w:val="FD6C827C"/>
    <w:rsid w:val="FDB49F6F"/>
    <w:rsid w:val="FDBFDF65"/>
    <w:rsid w:val="FDDECC72"/>
    <w:rsid w:val="FDDF4876"/>
    <w:rsid w:val="FDE432F8"/>
    <w:rsid w:val="FDEFCC97"/>
    <w:rsid w:val="FDF729D6"/>
    <w:rsid w:val="FDFFEAB8"/>
    <w:rsid w:val="FEBB87C6"/>
    <w:rsid w:val="FEBF802A"/>
    <w:rsid w:val="FEDB163E"/>
    <w:rsid w:val="FEDD817D"/>
    <w:rsid w:val="FEDEDB22"/>
    <w:rsid w:val="FEDF5574"/>
    <w:rsid w:val="FEDFA490"/>
    <w:rsid w:val="FEEBC550"/>
    <w:rsid w:val="FEEE58B4"/>
    <w:rsid w:val="FEFA63A0"/>
    <w:rsid w:val="FEFB8E04"/>
    <w:rsid w:val="FEFE91F2"/>
    <w:rsid w:val="FEFF6501"/>
    <w:rsid w:val="FEFF828B"/>
    <w:rsid w:val="FEFFDD36"/>
    <w:rsid w:val="FF3621C6"/>
    <w:rsid w:val="FF5FFB06"/>
    <w:rsid w:val="FF6C54F7"/>
    <w:rsid w:val="FF6D0C68"/>
    <w:rsid w:val="FF7FCA7A"/>
    <w:rsid w:val="FF7FE9A7"/>
    <w:rsid w:val="FF89209B"/>
    <w:rsid w:val="FF97704D"/>
    <w:rsid w:val="FF9FBB82"/>
    <w:rsid w:val="FFAFB977"/>
    <w:rsid w:val="FFBB6331"/>
    <w:rsid w:val="FFBF0AD1"/>
    <w:rsid w:val="FFBF2D40"/>
    <w:rsid w:val="FFBF8763"/>
    <w:rsid w:val="FFBFE9C8"/>
    <w:rsid w:val="FFC351FC"/>
    <w:rsid w:val="FFD5DFC6"/>
    <w:rsid w:val="FFDF724D"/>
    <w:rsid w:val="FFEE478D"/>
    <w:rsid w:val="FFF5047C"/>
    <w:rsid w:val="FFF581B6"/>
    <w:rsid w:val="FFF71817"/>
    <w:rsid w:val="FFFA98FC"/>
    <w:rsid w:val="FFFBBF57"/>
    <w:rsid w:val="FFFC8465"/>
    <w:rsid w:val="FFFD5DDF"/>
    <w:rsid w:val="FFFF52D0"/>
    <w:rsid w:val="FFFF79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unhideWhenUsed/>
    <w:qFormat/>
    <w:uiPriority w:val="99"/>
    <w:tblPr>
      <w:tblStyle w:val="9"/>
      <w:tblCellMar>
        <w:top w:w="0" w:type="dxa"/>
        <w:left w:w="108" w:type="dxa"/>
        <w:bottom w:w="0" w:type="dxa"/>
        <w:right w:w="108" w:type="dxa"/>
      </w:tblCellMar>
    </w:tblPr>
  </w:style>
  <w:style w:type="paragraph" w:styleId="2">
    <w:name w:val="Normal Indent"/>
    <w:basedOn w:val="1"/>
    <w:unhideWhenUsed/>
    <w:qFormat/>
    <w:uiPriority w:val="99"/>
    <w:pPr>
      <w:spacing w:line="440" w:lineRule="exact"/>
      <w:ind w:firstLine="480" w:firstLineChars="200"/>
    </w:pPr>
  </w:style>
  <w:style w:type="paragraph" w:styleId="6">
    <w:name w:val="Body Text"/>
    <w:basedOn w:val="1"/>
    <w:qFormat/>
    <w:uiPriority w:val="1"/>
    <w:rPr>
      <w:rFonts w:ascii="宋体" w:hAnsi="宋体" w:eastAsia="宋体" w:cs="宋体"/>
      <w:sz w:val="32"/>
      <w:szCs w:val="32"/>
      <w:lang w:val="zh-CN" w:eastAsia="zh-CN" w:bidi="zh-CN"/>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1">
    <w:name w:val="Table Normal"/>
    <w:unhideWhenUsed/>
    <w:qFormat/>
    <w:uiPriority w:val="0"/>
    <w:tblPr>
      <w:tblStyle w:val="9"/>
      <w:tblCellMar>
        <w:top w:w="0" w:type="dxa"/>
        <w:left w:w="0" w:type="dxa"/>
        <w:bottom w:w="0" w:type="dxa"/>
        <w:right w:w="0" w:type="dxa"/>
      </w:tblCellMar>
    </w:tblPr>
  </w:style>
  <w:style w:type="character" w:customStyle="1" w:styleId="12">
    <w:name w:val="font41"/>
    <w:basedOn w:val="10"/>
    <w:qFormat/>
    <w:uiPriority w:val="0"/>
    <w:rPr>
      <w:rFonts w:hint="eastAsia" w:ascii="宋体" w:hAnsi="宋体" w:eastAsia="宋体" w:cs="宋体"/>
      <w:color w:val="000000"/>
      <w:sz w:val="14"/>
      <w:szCs w:val="14"/>
      <w:u w:val="none"/>
    </w:rPr>
  </w:style>
  <w:style w:type="paragraph" w:customStyle="1" w:styleId="13">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chart" Target="charts/chart6.xml"/><Relationship Id="rId24" Type="http://schemas.openxmlformats.org/officeDocument/2006/relationships/chart" Target="charts/chart5.xml"/><Relationship Id="rId23" Type="http://schemas.openxmlformats.org/officeDocument/2006/relationships/chart" Target="charts/chart4.xml"/><Relationship Id="rId22" Type="http://schemas.openxmlformats.org/officeDocument/2006/relationships/chart" Target="charts/chart3.xml"/><Relationship Id="rId21" Type="http://schemas.openxmlformats.org/officeDocument/2006/relationships/chart" Target="charts/chart2.xml"/><Relationship Id="rId20" Type="http://schemas.openxmlformats.org/officeDocument/2006/relationships/chart" Target="charts/chart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home/kylin/&#26700;&#38754;/2025&#24180;&#25903;&#38431;&#26412;&#32423;&#20915;&#31639;&#22270;&#34920;.xls" TargetMode="External"/></Relationships>
</file>

<file path=word/charts/_rels/chart2.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5.xml"/><Relationship Id="rId1" Type="http://schemas.openxmlformats.org/officeDocument/2006/relationships/oleObject" Target="/home/kylin/&#26700;&#38754;/2025&#24180;&#25903;&#38431;&#26412;&#32423;&#20915;&#31639;&#22270;&#34920;.xls" TargetMode="External"/></Relationships>
</file>

<file path=word/charts/_rels/chart3.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home/kylin/&#26700;&#38754;/2025&#24180;&#25903;&#38431;&#26412;&#32423;&#20915;&#31639;&#22270;&#34920;.xls" TargetMode="External"/></Relationships>
</file>

<file path=word/charts/_rels/chart4.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oleObject" Target="/home/kylin/&#26700;&#38754;/2025&#24180;&#25903;&#38431;&#26412;&#32423;&#20915;&#31639;&#22270;&#34920;.xls" TargetMode="External"/></Relationships>
</file>

<file path=word/charts/_rels/chart5.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4.xml"/><Relationship Id="rId1" Type="http://schemas.openxmlformats.org/officeDocument/2006/relationships/oleObject" Target="/home/kylin/&#26700;&#38754;/2025&#24180;&#25903;&#38431;&#26412;&#32423;&#20915;&#31639;&#22270;&#34920;.xls" TargetMode="External"/></Relationships>
</file>

<file path=word/charts/_rels/chart6.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home/kylin/&#26700;&#38754;/2025&#24180;&#25903;&#38431;&#26412;&#32423;&#20915;&#31639;&#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true"/>
          <a:lstStyle/>
          <a:p>
            <a:pPr defTabSz="914400">
              <a:defRPr lang="zh-CN" sz="1400" b="0" i="0" u="none" strike="noStrike" kern="1200" spc="0" baseline="0">
                <a:solidFill>
                  <a:srgbClr val="595959">
                    <a:lumMod val="65000"/>
                    <a:lumOff val="35000"/>
                  </a:srgbClr>
                </a:solidFill>
                <a:latin typeface="+mn-lt"/>
                <a:ea typeface="+mn-ea"/>
                <a:cs typeface="+mn-cs"/>
              </a:defRPr>
            </a:pPr>
            <a:r>
              <a:t>收入支出决算总体变动情况</a:t>
            </a:r>
          </a:p>
          <a:p>
            <a:pPr defTabSz="914400">
              <a:defRPr lang="zh-CN" sz="1400" b="0" i="0" u="none" strike="noStrike" kern="1200" spc="0" baseline="0">
                <a:solidFill>
                  <a:srgbClr val="595959">
                    <a:lumMod val="65000"/>
                    <a:lumOff val="35000"/>
                  </a:srgbClr>
                </a:solidFill>
                <a:latin typeface="+mn-lt"/>
                <a:ea typeface="+mn-ea"/>
                <a:cs typeface="+mn-cs"/>
              </a:defRPr>
            </a:pPr>
            <a:r>
              <a:rPr sz="1400" b="0" i="0" u="none" strike="noStrike" baseline="0">
                <a:solidFill>
                  <a:srgbClr val="595959">
                    <a:alpha val="100000"/>
                  </a:srgbClr>
                </a:solidFill>
                <a:latin typeface="宋体" charset="-122"/>
                <a:ea typeface="宋体" charset="-122"/>
                <a:cs typeface="宋体" charset="-122"/>
              </a:rPr>
              <a:t>单位：万元</a:t>
            </a:r>
            <a:endParaRPr sz="1400" b="0" i="0" u="none" strike="noStrike" baseline="0">
              <a:solidFill>
                <a:srgbClr val="595959">
                  <a:alpha val="100000"/>
                </a:srgbClr>
              </a:solidFill>
              <a:latin typeface="宋体" charset="-122"/>
              <a:ea typeface="宋体" charset="-122"/>
              <a:cs typeface="宋体" charset="-122"/>
            </a:endParaRPr>
          </a:p>
        </c:rich>
      </c:tx>
      <c:layout>
        <c:manualLayout>
          <c:xMode val="edge"/>
          <c:yMode val="edge"/>
          <c:x val="0.285918646597836"/>
          <c:y val="0.0220171943803732"/>
        </c:manualLayout>
      </c:layout>
      <c:overlay val="false"/>
      <c:spPr>
        <a:noFill/>
        <a:ln>
          <a:noFill/>
        </a:ln>
        <a:effectLst/>
      </c:spPr>
    </c:title>
    <c:autoTitleDeleted val="false"/>
    <c:plotArea>
      <c:layout/>
      <c:barChart>
        <c:barDir val="col"/>
        <c:grouping val="clustered"/>
        <c:varyColors val="false"/>
        <c:ser>
          <c:idx val="0"/>
          <c:order val="0"/>
          <c:spPr>
            <a:ln>
              <a:noFill/>
            </a:ln>
            <a:effectLst/>
          </c:spPr>
          <c:invertIfNegative val="false"/>
          <c:dLbls>
            <c:numFmt formatCode="General" sourceLinked="true"/>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rgbClr val="000000"/>
                    </a:solidFill>
                    <a:latin typeface="+mn-lt"/>
                    <a:ea typeface="+mn-ea"/>
                    <a:cs typeface="+mn-cs"/>
                  </a:defRPr>
                </a:pPr>
              </a:p>
            </c:txPr>
            <c:dLblPos val="outEnd"/>
            <c:showLegendKey val="false"/>
            <c:showVal val="true"/>
            <c:showCatName val="false"/>
            <c:showSerName val="false"/>
            <c:showPercent val="false"/>
            <c:showBubbleSize val="false"/>
            <c:showLeaderLines val="false"/>
            <c:extLst>
              <c:ext xmlns:c15="http://schemas.microsoft.com/office/drawing/2012/chart" uri="{CE6537A1-D6FC-4f65-9D91-7224C49458BB}">
                <c15:layout/>
                <c15:showLeaderLines val="false"/>
                <c15:leaderLines/>
              </c:ext>
            </c:extLst>
          </c:dLbls>
          <c:cat>
            <c:strRef>
              <c:f>Sheet2!$D$40:$D$41</c:f>
              <c:strCache>
                <c:ptCount val="2"/>
                <c:pt idx="0">
                  <c:v>2024年度</c:v>
                </c:pt>
                <c:pt idx="1">
                  <c:v>2025年度</c:v>
                </c:pt>
              </c:strCache>
            </c:strRef>
          </c:cat>
          <c:val>
            <c:numRef>
              <c:f>Sheet2!$E$40:$E$41</c:f>
              <c:numCache>
                <c:formatCode>General</c:formatCode>
                <c:ptCount val="2"/>
                <c:pt idx="0">
                  <c:v>29831.87</c:v>
                </c:pt>
                <c:pt idx="1" c:formatCode="#,##0.00">
                  <c:v>19284.7</c:v>
                </c:pt>
              </c:numCache>
            </c:numRef>
          </c:val>
        </c:ser>
        <c:dLbls>
          <c:showLegendKey val="false"/>
          <c:showVal val="false"/>
          <c:showCatName val="false"/>
          <c:showSerName val="false"/>
          <c:showPercent val="false"/>
          <c:showBubbleSize val="false"/>
        </c:dLbls>
        <c:gapWidth val="150"/>
        <c:overlap val="-25"/>
        <c:axId val="55659304"/>
        <c:axId val="338058679"/>
      </c:barChart>
      <c:catAx>
        <c:axId val="55659304"/>
        <c:scaling>
          <c:orientation val="minMax"/>
        </c:scaling>
        <c:delete val="false"/>
        <c:axPos val="b"/>
        <c:majorTickMark val="none"/>
        <c:minorTickMark val="none"/>
        <c:tickLblPos val="nextTo"/>
        <c:spPr>
          <a:noFill/>
          <a:ln w="9525" cap="flat" cmpd="sng" algn="ctr">
            <a:solidFill>
              <a:srgbClr val="D9D9D9">
                <a:lumMod val="15000"/>
                <a:lumOff val="85000"/>
              </a:srgbClr>
            </a:solidFill>
            <a:prstDash val="solid"/>
            <a:round/>
          </a:ln>
          <a:effectLst/>
        </c:spPr>
        <c:txPr>
          <a:bodyPr rot="-60000000" spcFirstLastPara="0" vertOverflow="ellipsis" vert="horz" wrap="square" anchor="ctr" anchorCtr="true"/>
          <a:lstStyle/>
          <a:p>
            <a:pPr>
              <a:defRPr lang="zh-CN" sz="900" b="0" i="0" u="none" strike="noStrike" kern="1200" baseline="0">
                <a:solidFill>
                  <a:srgbClr val="595959">
                    <a:lumMod val="65000"/>
                    <a:lumOff val="35000"/>
                  </a:srgbClr>
                </a:solidFill>
                <a:latin typeface="+mn-lt"/>
                <a:ea typeface="+mn-ea"/>
                <a:cs typeface="+mn-cs"/>
              </a:defRPr>
            </a:pPr>
          </a:p>
        </c:txPr>
        <c:crossAx val="338058679"/>
        <c:crosses val="autoZero"/>
        <c:auto val="true"/>
        <c:lblAlgn val="ctr"/>
        <c:lblOffset val="100"/>
        <c:noMultiLvlLbl val="false"/>
      </c:catAx>
      <c:valAx>
        <c:axId val="338058679"/>
        <c:scaling>
          <c:orientation val="minMax"/>
        </c:scaling>
        <c:delete val="true"/>
        <c:axPos val="l"/>
        <c:numFmt formatCode="General" sourceLinked="true"/>
        <c:majorTickMark val="none"/>
        <c:minorTickMark val="none"/>
        <c:tickLblPos val="nextTo"/>
        <c:txPr>
          <a:bodyPr rot="-60000000" spcFirstLastPara="0" vertOverflow="ellipsis" vert="horz" wrap="square" anchor="ctr" anchorCtr="true"/>
          <a:lstStyle/>
          <a:p>
            <a:pPr>
              <a:defRPr lang="zh-CN" sz="900" b="0" i="0" u="none" strike="noStrike" kern="1200" baseline="0">
                <a:solidFill>
                  <a:srgbClr val="595959">
                    <a:lumMod val="65000"/>
                    <a:lumOff val="35000"/>
                  </a:srgbClr>
                </a:solidFill>
                <a:latin typeface="+mn-lt"/>
                <a:ea typeface="+mn-ea"/>
                <a:cs typeface="+mn-cs"/>
              </a:defRPr>
            </a:pPr>
          </a:p>
        </c:txPr>
        <c:crossAx val="55659304"/>
        <c:crosses val="autoZero"/>
        <c:crossBetween val="between"/>
      </c:valAx>
      <c:spPr>
        <a:noFill/>
        <a:ln>
          <a:noFill/>
        </a:ln>
        <a:effectLst/>
      </c:spPr>
    </c:plotArea>
    <c:plotVisOnly val="true"/>
    <c:dispBlanksAs val="gap"/>
    <c:showDLblsOverMax val="false"/>
  </c:chart>
  <c:spPr>
    <a:solidFill>
      <a:srgbClr val="FFFFFF"/>
    </a:solidFill>
    <a:ln w="9525" cap="flat" cmpd="sng" algn="ctr">
      <a:solidFill>
        <a:srgbClr val="D9D9D9">
          <a:lumMod val="15000"/>
          <a:lumOff val="85000"/>
        </a:srgbClr>
      </a:solidFill>
      <a:prstDash val="solid"/>
      <a:round/>
    </a:ln>
    <a:effectLst/>
  </c:spPr>
  <c:txPr>
    <a:bodyPr wrap="square"/>
    <a:lstStyle/>
    <a:p>
      <a:pPr>
        <a:defRPr lang="zh-CN"/>
      </a:pPr>
    </a:p>
  </c:txPr>
  <c:externalData r:id="rId1">
    <c:autoUpdate val="false"/>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true"/>
          <a:lstStyle/>
          <a:p>
            <a:pPr defTabSz="914400">
              <a:defRPr lang="zh-CN" sz="1400" b="0" i="0" u="none" strike="noStrike" kern="1200" spc="0" baseline="0">
                <a:solidFill>
                  <a:sysClr val="windowText" lastClr="000000">
                    <a:lumMod val="65000"/>
                    <a:lumOff val="35000"/>
                  </a:sysClr>
                </a:solidFill>
                <a:latin typeface="+mn-lt"/>
                <a:ea typeface="+mn-ea"/>
                <a:cs typeface="+mn-cs"/>
              </a:defRPr>
            </a:pPr>
            <a:r>
              <a:t>收入决算结构</a:t>
            </a:r>
          </a:p>
        </c:rich>
      </c:tx>
      <c:layout/>
      <c:overlay val="false"/>
      <c:spPr>
        <a:noFill/>
        <a:ln>
          <a:noFill/>
        </a:ln>
        <a:effectLst/>
      </c:spPr>
    </c:title>
    <c:autoTitleDeleted val="false"/>
    <c:plotArea>
      <c:layout/>
      <c:pieChart>
        <c:varyColors val="true"/>
        <c:ser>
          <c:idx val="0"/>
          <c:order val="0"/>
          <c:spPr/>
          <c:explosion val="0"/>
          <c:dPt>
            <c:idx val="0"/>
            <c:bubble3D val="false"/>
            <c:spPr>
              <a:solidFill>
                <a:srgbClr val="5B9BD5"/>
              </a:solidFill>
              <a:ln w="19050">
                <a:solidFill>
                  <a:sysClr val="window" lastClr="FFFFFF"/>
                </a:solidFill>
              </a:ln>
              <a:effectLst/>
            </c:spPr>
          </c:dPt>
          <c:dPt>
            <c:idx val="1"/>
            <c:bubble3D val="false"/>
            <c:spPr>
              <a:solidFill>
                <a:srgbClr val="ED7D31"/>
              </a:solidFill>
              <a:ln w="19050">
                <a:solidFill>
                  <a:sysClr val="window" lastClr="FFFFFF"/>
                </a:solidFill>
              </a:ln>
              <a:effectLst/>
            </c:spPr>
          </c:dPt>
          <c:dLbls>
            <c:dLbl>
              <c:idx val="0"/>
              <c:layout>
                <c:manualLayout>
                  <c:x val="-0.245657133463501"/>
                  <c:y val="-0.0691947214004144"/>
                </c:manualLayout>
              </c:layout>
              <c:tx>
                <c:rich>
                  <a:bodyPr rot="0" spcFirstLastPara="0" vertOverflow="ellipsis" vert="horz" wrap="square" lIns="38100" tIns="19050" rIns="38100" bIns="19050" anchor="ctr" anchorCtr="true"/>
                  <a:lstStyle/>
                  <a:p>
                    <a:pPr defTabSz="914400">
                      <a:defRPr lang="zh-CN" sz="900" b="0" i="0" u="none" strike="noStrike" kern="1200" baseline="0">
                        <a:solidFill>
                          <a:sysClr val="windowText" lastClr="000000">
                            <a:lumMod val="75000"/>
                            <a:lumOff val="25000"/>
                          </a:sysClr>
                        </a:solidFill>
                        <a:latin typeface="+mn-lt"/>
                        <a:ea typeface="+mn-ea"/>
                        <a:cs typeface="+mn-cs"/>
                      </a:defRPr>
                    </a:pPr>
                    <a:r>
                      <a:t>财政拨款收入</a:t>
                    </a:r>
                  </a:p>
                  <a:p>
                    <a:pPr defTabSz="914400">
                      <a:defRPr lang="zh-CN" sz="900" b="0" i="0" u="none" strike="noStrike" kern="1200" baseline="0">
                        <a:solidFill>
                          <a:sysClr val="windowText" lastClr="000000">
                            <a:lumMod val="75000"/>
                            <a:lumOff val="25000"/>
                          </a:sysClr>
                        </a:solidFill>
                        <a:latin typeface="+mn-lt"/>
                        <a:ea typeface="+mn-ea"/>
                        <a:cs typeface="+mn-cs"/>
                      </a:defRPr>
                    </a:pPr>
                    <a:r>
                      <a:rPr lang="en-US" altLang="zh-CN"/>
                      <a:t>8690.03</a:t>
                    </a:r>
                    <a:r>
                      <a:rPr altLang="en-US"/>
                      <a:t>万元</a:t>
                    </a:r>
                    <a:r>
                      <a:t>63</a:t>
                    </a:r>
                    <a:r>
                      <a:rPr lang="en-US" altLang="zh-CN"/>
                      <a:t>.5</a:t>
                    </a:r>
                    <a:r>
                      <a:t>%</a:t>
                    </a:r>
                  </a:p>
                </c:rich>
              </c:tx>
              <c:dLblPos val="bestFit"/>
              <c:showLegendKey val="false"/>
              <c:showVal val="false"/>
              <c:showCatName val="true"/>
              <c:showSerName val="false"/>
              <c:showPercent val="true"/>
              <c:showBubbleSize val="false"/>
              <c:separator>
</c:separator>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true"/>
                  <a:lstStyle/>
                  <a:p>
                    <a:pPr defTabSz="914400">
                      <a:defRPr lang="zh-CN" sz="900" b="0" i="0" u="none" strike="noStrike" kern="1200" baseline="0">
                        <a:solidFill>
                          <a:sysClr val="windowText" lastClr="000000">
                            <a:lumMod val="75000"/>
                            <a:lumOff val="25000"/>
                          </a:sysClr>
                        </a:solidFill>
                        <a:latin typeface="+mn-lt"/>
                        <a:ea typeface="+mn-ea"/>
                        <a:cs typeface="+mn-cs"/>
                      </a:defRPr>
                    </a:pPr>
                    <a:r>
                      <a:t>其他收入</a:t>
                    </a:r>
                  </a:p>
                  <a:p>
                    <a:pPr defTabSz="914400">
                      <a:defRPr lang="zh-CN" sz="900" b="0" i="0" u="none" strike="noStrike" kern="1200" baseline="0">
                        <a:solidFill>
                          <a:sysClr val="windowText" lastClr="000000">
                            <a:lumMod val="75000"/>
                            <a:lumOff val="25000"/>
                          </a:sysClr>
                        </a:solidFill>
                        <a:latin typeface="+mn-lt"/>
                        <a:ea typeface="+mn-ea"/>
                        <a:cs typeface="+mn-cs"/>
                      </a:defRPr>
                    </a:pPr>
                    <a:r>
                      <a:rPr lang="en-US" altLang="zh-CN"/>
                      <a:t>5000.61</a:t>
                    </a:r>
                    <a:r>
                      <a:rPr altLang="en-US"/>
                      <a:t>万元</a:t>
                    </a:r>
                    <a:r>
                      <a:t>3</a:t>
                    </a:r>
                    <a:r>
                      <a:rPr lang="en-US" altLang="zh-CN"/>
                      <a:t>6.5</a:t>
                    </a:r>
                    <a:r>
                      <a:t>%</a:t>
                    </a:r>
                  </a:p>
                </c:rich>
              </c:tx>
              <c:dLblPos val="inEnd"/>
              <c:showLegendKey val="false"/>
              <c:showVal val="false"/>
              <c:showCatName val="true"/>
              <c:showSerName val="false"/>
              <c:showPercent val="true"/>
              <c:showBubbleSize val="false"/>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true"/>
              <a:lstStyle/>
              <a:p>
                <a:pPr>
                  <a:defRPr lang="zh-CN" sz="900" b="0" i="0" u="none" strike="noStrike" kern="1200" baseline="0">
                    <a:solidFill>
                      <a:sysClr val="windowText" lastClr="000000">
                        <a:lumMod val="75000"/>
                        <a:lumOff val="25000"/>
                      </a:sysClr>
                    </a:solidFill>
                    <a:latin typeface="+mn-lt"/>
                    <a:ea typeface="+mn-ea"/>
                    <a:cs typeface="+mn-cs"/>
                  </a:defRPr>
                </a:pPr>
              </a:p>
            </c:txPr>
            <c:dLblPos val="inEnd"/>
            <c:showLegendKey val="false"/>
            <c:showVal val="false"/>
            <c:showCatName val="true"/>
            <c:showSerName val="false"/>
            <c:showPercent val="true"/>
            <c:showBubbleSize val="false"/>
            <c:showLeaderLines val="true"/>
            <c:extLst>
              <c:ext xmlns:c15="http://schemas.microsoft.com/office/drawing/2012/chart" uri="{CE6537A1-D6FC-4f65-9D91-7224C49458BB}">
                <c15:layout/>
                <c15:showLeaderLines val="true"/>
                <c15:leaderLines>
                  <c:spPr>
                    <a:ln w="9525" cap="flat" cmpd="sng" algn="ctr">
                      <a:solidFill>
                        <a:sysClr val="windowText" lastClr="000000">
                          <a:lumMod val="35000"/>
                          <a:lumOff val="65000"/>
                        </a:sysClr>
                      </a:solidFill>
                      <a:round/>
                    </a:ln>
                    <a:effectLst/>
                  </c:spPr>
                </c15:leaderLines>
              </c:ext>
            </c:extLst>
          </c:dLbls>
          <c:cat>
            <c:strRef>
              <c:f>[2025年支队本级决算图表.xls]Sheet1!$Q$14:$Q$15</c:f>
              <c:strCache>
                <c:ptCount val="2"/>
                <c:pt idx="0">
                  <c:v>财政拨款收入</c:v>
                </c:pt>
                <c:pt idx="1">
                  <c:v>其他收入</c:v>
                </c:pt>
              </c:strCache>
            </c:strRef>
          </c:cat>
          <c:val>
            <c:numRef>
              <c:f>[2025年支队本级决算图表.xls]Sheet1!$R$14:$R$15</c:f>
              <c:numCache>
                <c:formatCode>General</c:formatCode>
                <c:ptCount val="2"/>
                <c:pt idx="0">
                  <c:v>8690.03</c:v>
                </c:pt>
                <c:pt idx="1">
                  <c:v>5000.61</c:v>
                </c:pt>
              </c:numCache>
            </c:numRef>
          </c:val>
        </c:ser>
        <c:dLbls>
          <c:showLegendKey val="false"/>
          <c:showVal val="false"/>
          <c:showCatName val="true"/>
          <c:showSerName val="false"/>
          <c:showPercent val="true"/>
          <c:showBubbleSize val="false"/>
          <c:showLeaderLines val="true"/>
        </c:dLbls>
        <c:firstSliceAng val="0"/>
      </c:pieChart>
      <c:spPr>
        <a:noFill/>
        <a:ln>
          <a:noFill/>
        </a:ln>
        <a:effectLst/>
      </c:spPr>
    </c:plotArea>
    <c:plotVisOnly val="true"/>
    <c:dispBlanksAs val="gap"/>
    <c:showDLblsOverMax val="false"/>
  </c:chart>
  <c:spPr>
    <a:solidFill>
      <a:sysClr val="window" lastClr="FFFFFF"/>
    </a:solidFill>
    <a:ln w="9525" cap="flat" cmpd="sng" algn="ctr">
      <a:solidFill>
        <a:sysClr val="windowText" lastClr="000000">
          <a:lumMod val="15000"/>
          <a:lumOff val="85000"/>
        </a:sysClr>
      </a:solidFill>
      <a:round/>
    </a:ln>
    <a:effectLst/>
  </c:spPr>
  <c:txPr>
    <a:bodyPr/>
    <a:lstStyle/>
    <a:p>
      <a:pPr>
        <a:defRPr lang="zh-CN"/>
      </a:pPr>
    </a:p>
  </c:txPr>
  <c:externalData r:id="rId1">
    <c:autoUpdate val="false"/>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true"/>
          <a:lstStyle/>
          <a:p>
            <a:pPr defTabSz="914400">
              <a:defRPr lang="zh-CN" sz="1400" b="0" i="0" u="none" strike="noStrike" kern="1200" spc="0" baseline="0">
                <a:solidFill>
                  <a:sysClr val="windowText" lastClr="000000">
                    <a:lumMod val="65000"/>
                    <a:lumOff val="35000"/>
                  </a:sysClr>
                </a:solidFill>
                <a:latin typeface="+mn-lt"/>
                <a:ea typeface="+mn-ea"/>
                <a:cs typeface="+mn-cs"/>
              </a:defRPr>
            </a:pPr>
            <a:r>
              <a:t>支出决算结构</a:t>
            </a:r>
          </a:p>
        </c:rich>
      </c:tx>
      <c:layout/>
      <c:overlay val="false"/>
      <c:spPr>
        <a:noFill/>
        <a:ln>
          <a:noFill/>
        </a:ln>
        <a:effectLst/>
      </c:spPr>
    </c:title>
    <c:autoTitleDeleted val="false"/>
    <c:plotArea>
      <c:layout/>
      <c:pieChart>
        <c:varyColors val="true"/>
        <c:ser>
          <c:idx val="0"/>
          <c:order val="0"/>
          <c:spPr/>
          <c:explosion val="0"/>
          <c:dPt>
            <c:idx val="0"/>
            <c:bubble3D val="false"/>
            <c:spPr>
              <a:solidFill>
                <a:srgbClr val="5B9BD5"/>
              </a:solidFill>
              <a:ln w="19050">
                <a:solidFill>
                  <a:sysClr val="window" lastClr="FFFFFF"/>
                </a:solidFill>
              </a:ln>
              <a:effectLst/>
            </c:spPr>
          </c:dPt>
          <c:dPt>
            <c:idx val="1"/>
            <c:bubble3D val="false"/>
            <c:spPr>
              <a:solidFill>
                <a:srgbClr val="ED7D31"/>
              </a:solidFill>
              <a:ln w="19050">
                <a:solidFill>
                  <a:sysClr val="window" lastClr="FFFFFF"/>
                </a:solidFill>
              </a:ln>
              <a:effectLst/>
            </c:spPr>
          </c:dPt>
          <c:dLbls>
            <c:dLbl>
              <c:idx val="0"/>
              <c:layout>
                <c:manualLayout>
                  <c:x val="-0.124917525617747"/>
                  <c:y val="-0.250459920676393"/>
                </c:manualLayout>
              </c:layout>
              <c:tx>
                <c:rich>
                  <a:bodyPr rot="0" spcFirstLastPara="0" vertOverflow="ellipsis" vert="horz" wrap="square" lIns="38100" tIns="19050" rIns="38100" bIns="19050" anchor="ctr" anchorCtr="true"/>
                  <a:lstStyle/>
                  <a:p>
                    <a:pPr defTabSz="914400">
                      <a:defRPr lang="zh-CN" sz="900" b="0" i="0" u="none" strike="noStrike" kern="1200" baseline="0">
                        <a:solidFill>
                          <a:sysClr val="windowText" lastClr="000000">
                            <a:lumMod val="75000"/>
                            <a:lumOff val="25000"/>
                          </a:sysClr>
                        </a:solidFill>
                        <a:latin typeface="+mn-lt"/>
                        <a:ea typeface="+mn-ea"/>
                        <a:cs typeface="+mn-cs"/>
                      </a:defRPr>
                    </a:pPr>
                    <a:r>
                      <a:t>基本支出</a:t>
                    </a:r>
                  </a:p>
                  <a:p>
                    <a:pPr defTabSz="914400">
                      <a:defRPr lang="zh-CN" sz="900" b="0" i="0" u="none" strike="noStrike" kern="1200" baseline="0">
                        <a:solidFill>
                          <a:sysClr val="windowText" lastClr="000000">
                            <a:lumMod val="75000"/>
                            <a:lumOff val="25000"/>
                          </a:sysClr>
                        </a:solidFill>
                        <a:latin typeface="+mn-lt"/>
                        <a:ea typeface="+mn-ea"/>
                        <a:cs typeface="+mn-cs"/>
                      </a:defRPr>
                    </a:pPr>
                    <a:r>
                      <a:rPr lang="en-US" altLang="zh-CN"/>
                      <a:t>10076.33</a:t>
                    </a:r>
                    <a:r>
                      <a:rPr altLang="en-US"/>
                      <a:t>万元</a:t>
                    </a:r>
                    <a:endParaRPr altLang="en-US"/>
                  </a:p>
                  <a:p>
                    <a:pPr defTabSz="914400">
                      <a:defRPr lang="zh-CN" sz="900" b="0" i="0" u="none" strike="noStrike" kern="1200" baseline="0">
                        <a:solidFill>
                          <a:sysClr val="windowText" lastClr="000000">
                            <a:lumMod val="75000"/>
                            <a:lumOff val="25000"/>
                          </a:sysClr>
                        </a:solidFill>
                        <a:latin typeface="+mn-lt"/>
                        <a:ea typeface="+mn-ea"/>
                        <a:cs typeface="+mn-cs"/>
                      </a:defRPr>
                    </a:pPr>
                    <a:r>
                      <a:rPr lang="en-US" altLang="zh-CN"/>
                      <a:t>76.1%</a:t>
                    </a:r>
                    <a:endParaRPr lang="en-US" altLang="zh-CN"/>
                  </a:p>
                </c:rich>
              </c:tx>
              <c:dLblPos val="bestFit"/>
              <c:showLegendKey val="false"/>
              <c:showVal val="false"/>
              <c:showCatName val="true"/>
              <c:showSerName val="false"/>
              <c:showPercent val="false"/>
              <c:showBubbleSize val="false"/>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true"/>
                  <a:lstStyle/>
                  <a:p>
                    <a:pPr defTabSz="914400">
                      <a:defRPr lang="zh-CN" sz="900" b="0" i="0" u="none" strike="noStrike" kern="1200" baseline="0">
                        <a:solidFill>
                          <a:sysClr val="windowText" lastClr="000000">
                            <a:lumMod val="75000"/>
                            <a:lumOff val="25000"/>
                          </a:sysClr>
                        </a:solidFill>
                        <a:latin typeface="+mn-lt"/>
                        <a:ea typeface="+mn-ea"/>
                        <a:cs typeface="+mn-cs"/>
                      </a:defRPr>
                    </a:pPr>
                    <a:r>
                      <a:t>项目支出</a:t>
                    </a:r>
                  </a:p>
                  <a:p>
                    <a:pPr defTabSz="914400">
                      <a:defRPr lang="zh-CN" sz="900" b="0" i="0" u="none" strike="noStrike" kern="1200" baseline="0">
                        <a:solidFill>
                          <a:sysClr val="windowText" lastClr="000000">
                            <a:lumMod val="75000"/>
                            <a:lumOff val="25000"/>
                          </a:sysClr>
                        </a:solidFill>
                        <a:latin typeface="+mn-lt"/>
                        <a:ea typeface="+mn-ea"/>
                        <a:cs typeface="+mn-cs"/>
                      </a:defRPr>
                    </a:pPr>
                    <a:r>
                      <a:rPr lang="en-US" altLang="zh-CN"/>
                      <a:t>3159.52</a:t>
                    </a:r>
                    <a:r>
                      <a:rPr altLang="en-US"/>
                      <a:t>万元</a:t>
                    </a:r>
                    <a:endParaRPr altLang="en-US"/>
                  </a:p>
                  <a:p>
                    <a:pPr defTabSz="914400">
                      <a:defRPr lang="zh-CN" sz="900" b="0" i="0" u="none" strike="noStrike" kern="1200" baseline="0">
                        <a:solidFill>
                          <a:sysClr val="windowText" lastClr="000000">
                            <a:lumMod val="75000"/>
                            <a:lumOff val="25000"/>
                          </a:sysClr>
                        </a:solidFill>
                        <a:latin typeface="+mn-lt"/>
                        <a:ea typeface="+mn-ea"/>
                        <a:cs typeface="+mn-cs"/>
                      </a:defRPr>
                    </a:pPr>
                    <a:r>
                      <a:rPr lang="en-US" altLang="zh-CN"/>
                      <a:t>23.9%</a:t>
                    </a:r>
                    <a:endParaRPr lang="en-US" altLang="zh-CN"/>
                  </a:p>
                </c:rich>
              </c:tx>
              <c:dLblPos val="inEnd"/>
              <c:showLegendKey val="false"/>
              <c:showVal val="false"/>
              <c:showCatName val="true"/>
              <c:showSerName val="false"/>
              <c:showPercent val="false"/>
              <c:showBubbleSize val="false"/>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true"/>
              <a:lstStyle/>
              <a:p>
                <a:pPr>
                  <a:defRPr lang="zh-CN" sz="900" b="0" i="0" u="none" strike="noStrike" kern="1200" baseline="0">
                    <a:solidFill>
                      <a:sysClr val="windowText" lastClr="000000">
                        <a:lumMod val="75000"/>
                        <a:lumOff val="25000"/>
                      </a:sysClr>
                    </a:solidFill>
                    <a:latin typeface="+mn-lt"/>
                    <a:ea typeface="+mn-ea"/>
                    <a:cs typeface="+mn-cs"/>
                  </a:defRPr>
                </a:pPr>
              </a:p>
            </c:txPr>
            <c:dLblPos val="inEnd"/>
            <c:showLegendKey val="false"/>
            <c:showVal val="false"/>
            <c:showCatName val="true"/>
            <c:showSerName val="false"/>
            <c:showPercent val="false"/>
            <c:showBubbleSize val="false"/>
            <c:showLeaderLines val="true"/>
            <c:extLst>
              <c:ext xmlns:c15="http://schemas.microsoft.com/office/drawing/2012/chart" uri="{CE6537A1-D6FC-4f65-9D91-7224C49458BB}">
                <c15:layout/>
                <c15:showLeaderLines val="true"/>
                <c15:leaderLines>
                  <c:spPr>
                    <a:ln w="9525" cap="flat" cmpd="sng" algn="ctr">
                      <a:solidFill>
                        <a:sysClr val="windowText" lastClr="000000">
                          <a:lumMod val="35000"/>
                          <a:lumOff val="65000"/>
                        </a:sysClr>
                      </a:solidFill>
                      <a:round/>
                    </a:ln>
                    <a:effectLst/>
                  </c:spPr>
                </c15:leaderLines>
              </c:ext>
            </c:extLst>
          </c:dLbls>
          <c:cat>
            <c:strRef>
              <c:f>[2025年支队本级决算图表.xls]Sheet1!$L$53:$L$54</c:f>
              <c:strCache>
                <c:ptCount val="2"/>
                <c:pt idx="0">
                  <c:v>基本支出</c:v>
                </c:pt>
                <c:pt idx="1">
                  <c:v>项目支出</c:v>
                </c:pt>
              </c:strCache>
            </c:strRef>
          </c:cat>
          <c:val>
            <c:numRef>
              <c:f>[2025年支队本级决算图表.xls]Sheet1!$M$53:$M$54</c:f>
              <c:numCache>
                <c:formatCode>General</c:formatCode>
                <c:ptCount val="2"/>
                <c:pt idx="0">
                  <c:v>10076.33</c:v>
                </c:pt>
                <c:pt idx="1">
                  <c:v>3159.52</c:v>
                </c:pt>
              </c:numCache>
            </c:numRef>
          </c:val>
        </c:ser>
        <c:dLbls>
          <c:showLegendKey val="false"/>
          <c:showVal val="false"/>
          <c:showCatName val="true"/>
          <c:showSerName val="false"/>
          <c:showPercent val="false"/>
          <c:showBubbleSize val="false"/>
          <c:showLeaderLines val="true"/>
        </c:dLbls>
        <c:firstSliceAng val="0"/>
      </c:pieChart>
      <c:spPr>
        <a:noFill/>
        <a:ln>
          <a:noFill/>
        </a:ln>
        <a:effectLst/>
      </c:spPr>
    </c:plotArea>
    <c:plotVisOnly val="true"/>
    <c:dispBlanksAs val="gap"/>
    <c:showDLblsOverMax val="false"/>
  </c:chart>
  <c:spPr>
    <a:solidFill>
      <a:sysClr val="window" lastClr="FFFFFF"/>
    </a:solidFill>
    <a:ln w="9525" cap="flat" cmpd="sng" algn="ctr">
      <a:solidFill>
        <a:sysClr val="windowText" lastClr="000000">
          <a:lumMod val="15000"/>
          <a:lumOff val="85000"/>
        </a:sysClr>
      </a:solidFill>
      <a:round/>
    </a:ln>
    <a:effectLst/>
  </c:spPr>
  <c:txPr>
    <a:bodyPr/>
    <a:lstStyle/>
    <a:p>
      <a:pPr>
        <a:defRPr lang="zh-CN"/>
      </a:pPr>
    </a:p>
  </c:txPr>
  <c:externalData r:id="rId1">
    <c:autoUpdate val="false"/>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true"/>
          <a:lstStyle/>
          <a:p>
            <a:pPr defTabSz="914400">
              <a:defRPr lang="zh-CN" sz="1400" b="0" i="0" u="none" strike="noStrike" kern="1200" spc="0" baseline="0">
                <a:solidFill>
                  <a:sysClr val="windowText" lastClr="000000">
                    <a:lumMod val="65000"/>
                    <a:lumOff val="35000"/>
                  </a:sysClr>
                </a:solidFill>
                <a:latin typeface="+mn-lt"/>
                <a:ea typeface="+mn-ea"/>
                <a:cs typeface="+mn-cs"/>
              </a:defRPr>
            </a:pPr>
            <a:r>
              <a:t>财政拨款收、支决算总计变动情况</a:t>
            </a:r>
          </a:p>
          <a:p>
            <a:pPr defTabSz="914400">
              <a:defRPr lang="zh-CN" sz="1400" b="0" i="0" u="none" strike="noStrike" kern="1200" spc="0" baseline="0">
                <a:solidFill>
                  <a:sysClr val="windowText" lastClr="000000">
                    <a:lumMod val="65000"/>
                    <a:lumOff val="35000"/>
                  </a:sysClr>
                </a:solidFill>
                <a:latin typeface="+mn-lt"/>
                <a:ea typeface="+mn-ea"/>
                <a:cs typeface="+mn-cs"/>
              </a:defRPr>
            </a:pPr>
            <a:r>
              <a:rPr sz="1400" b="0" i="0" u="none" strike="noStrike" baseline="0">
                <a:solidFill>
                  <a:srgbClr val="595959">
                    <a:alpha val="100000"/>
                  </a:srgbClr>
                </a:solidFill>
                <a:latin typeface="宋体" charset="-122"/>
                <a:ea typeface="宋体" charset="-122"/>
                <a:cs typeface="宋体" charset="-122"/>
              </a:rPr>
              <a:t>单位：万元</a:t>
            </a:r>
            <a:endParaRPr sz="1400" b="0" i="0" u="none" strike="noStrike" baseline="0">
              <a:solidFill>
                <a:srgbClr val="595959">
                  <a:alpha val="100000"/>
                </a:srgbClr>
              </a:solidFill>
              <a:latin typeface="宋体" charset="-122"/>
              <a:ea typeface="宋体" charset="-122"/>
              <a:cs typeface="宋体" charset="-122"/>
            </a:endParaRPr>
          </a:p>
        </c:rich>
      </c:tx>
      <c:layout/>
      <c:overlay val="false"/>
      <c:spPr>
        <a:noFill/>
        <a:ln>
          <a:noFill/>
        </a:ln>
        <a:effectLst/>
      </c:spPr>
    </c:title>
    <c:autoTitleDeleted val="false"/>
    <c:plotArea>
      <c:layout/>
      <c:barChart>
        <c:barDir val="col"/>
        <c:grouping val="clustered"/>
        <c:varyColors val="false"/>
        <c:ser>
          <c:idx val="0"/>
          <c:order val="0"/>
          <c:spPr>
            <a:solidFill>
              <a:srgbClr val="5B9BD5"/>
            </a:solidFill>
            <a:ln>
              <a:noFill/>
            </a:ln>
            <a:effectLst/>
          </c:spPr>
          <c:invertIfNegative val="false"/>
          <c:dLbls>
            <c:numFmt formatCode="General" sourceLinked="true"/>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ysClr val="windowText" lastClr="000000"/>
                    </a:solidFill>
                    <a:latin typeface="+mn-lt"/>
                    <a:ea typeface="+mn-ea"/>
                    <a:cs typeface="+mn-cs"/>
                  </a:defRPr>
                </a:pPr>
              </a:p>
            </c:txPr>
            <c:dLblPos val="outEnd"/>
            <c:showLegendKey val="false"/>
            <c:showVal val="true"/>
            <c:showCatName val="false"/>
            <c:showSerName val="false"/>
            <c:showPercent val="false"/>
            <c:showBubbleSize val="false"/>
            <c:showLeaderLines val="false"/>
            <c:extLst>
              <c:ext xmlns:c15="http://schemas.microsoft.com/office/drawing/2012/chart" uri="{CE6537A1-D6FC-4f65-9D91-7224C49458BB}">
                <c15:layout/>
                <c15:showLeaderLines val="false"/>
                <c15:leaderLines/>
              </c:ext>
            </c:extLst>
          </c:dLbls>
          <c:cat>
            <c:strRef>
              <c:f>[2025年支队本级决算图表.xls]Sheet2!$D$65:$D$66</c:f>
              <c:strCache>
                <c:ptCount val="2"/>
                <c:pt idx="0">
                  <c:v>2024年度</c:v>
                </c:pt>
                <c:pt idx="1">
                  <c:v>2025年度</c:v>
                </c:pt>
              </c:strCache>
            </c:strRef>
          </c:cat>
          <c:val>
            <c:numRef>
              <c:f>[2025年支队本级决算图表.xls]Sheet2!$E$65:$E$66</c:f>
              <c:numCache>
                <c:formatCode>General</c:formatCode>
                <c:ptCount val="2"/>
                <c:pt idx="0">
                  <c:v>21893.02</c:v>
                </c:pt>
                <c:pt idx="1">
                  <c:v>12271.74</c:v>
                </c:pt>
              </c:numCache>
            </c:numRef>
          </c:val>
        </c:ser>
        <c:dLbls>
          <c:showLegendKey val="false"/>
          <c:showVal val="false"/>
          <c:showCatName val="false"/>
          <c:showSerName val="false"/>
          <c:showPercent val="false"/>
          <c:showBubbleSize val="false"/>
        </c:dLbls>
        <c:gapWidth val="150"/>
        <c:overlap val="-25"/>
        <c:axId val="542476807"/>
        <c:axId val="654091776"/>
      </c:barChart>
      <c:catAx>
        <c:axId val="542476807"/>
        <c:scaling>
          <c:orientation val="minMax"/>
        </c:scaling>
        <c:delete val="false"/>
        <c:axPos val="b"/>
        <c:majorTickMark val="none"/>
        <c:minorTickMark val="none"/>
        <c:tickLblPos val="nextTo"/>
        <c:spPr>
          <a:noFill/>
          <a:ln w="9525" cap="flat" cmpd="sng" algn="ctr">
            <a:solidFill>
              <a:sysClr val="windowText" lastClr="000000">
                <a:lumMod val="15000"/>
                <a:lumOff val="85000"/>
              </a:sysClr>
            </a:solidFill>
            <a:prstDash val="solid"/>
            <a:round/>
          </a:ln>
          <a:effectLst/>
        </c:spPr>
        <c:txPr>
          <a:bodyPr rot="-60000000" spcFirstLastPara="0" vertOverflow="ellipsis" vert="horz" wrap="square" anchor="ctr" anchorCtr="true"/>
          <a:lstStyle/>
          <a:p>
            <a:pPr>
              <a:defRPr lang="zh-CN" sz="900" b="0" i="0" u="none" strike="noStrike" kern="1200" baseline="0">
                <a:solidFill>
                  <a:sysClr val="windowText" lastClr="000000">
                    <a:lumMod val="65000"/>
                    <a:lumOff val="35000"/>
                  </a:sysClr>
                </a:solidFill>
                <a:latin typeface="+mn-lt"/>
                <a:ea typeface="+mn-ea"/>
                <a:cs typeface="+mn-cs"/>
              </a:defRPr>
            </a:pPr>
          </a:p>
        </c:txPr>
        <c:crossAx val="654091776"/>
        <c:crosses val="autoZero"/>
        <c:auto val="true"/>
        <c:lblAlgn val="ctr"/>
        <c:lblOffset val="100"/>
        <c:noMultiLvlLbl val="false"/>
      </c:catAx>
      <c:valAx>
        <c:axId val="654091776"/>
        <c:scaling>
          <c:orientation val="minMax"/>
        </c:scaling>
        <c:delete val="true"/>
        <c:axPos val="l"/>
        <c:numFmt formatCode="General" sourceLinked="true"/>
        <c:majorTickMark val="none"/>
        <c:minorTickMark val="none"/>
        <c:tickLblPos val="nextTo"/>
        <c:txPr>
          <a:bodyPr rot="-60000000" spcFirstLastPara="0" vertOverflow="ellipsis" vert="horz" wrap="square" anchor="ctr" anchorCtr="true"/>
          <a:lstStyle/>
          <a:p>
            <a:pPr>
              <a:defRPr lang="zh-CN" sz="900" b="0" i="0" u="none" strike="noStrike" kern="1200" baseline="0">
                <a:solidFill>
                  <a:sysClr val="windowText" lastClr="000000">
                    <a:lumMod val="65000"/>
                    <a:lumOff val="35000"/>
                  </a:sysClr>
                </a:solidFill>
                <a:latin typeface="+mn-lt"/>
                <a:ea typeface="+mn-ea"/>
                <a:cs typeface="+mn-cs"/>
              </a:defRPr>
            </a:pPr>
          </a:p>
        </c:txPr>
        <c:crossAx val="542476807"/>
        <c:crosses val="autoZero"/>
        <c:crossBetween val="between"/>
      </c:valAx>
      <c:spPr>
        <a:noFill/>
        <a:ln>
          <a:noFill/>
        </a:ln>
        <a:effectLst/>
      </c:spPr>
    </c:plotArea>
    <c:plotVisOnly val="true"/>
    <c:dispBlanksAs val="gap"/>
    <c:showDLblsOverMax val="false"/>
  </c:chart>
  <c:spPr>
    <a:solidFill>
      <a:sysClr val="window" lastClr="FFFFFF"/>
    </a:solidFill>
    <a:ln w="9525" cap="flat" cmpd="sng" algn="ctr">
      <a:solidFill>
        <a:sysClr val="windowText" lastClr="000000">
          <a:lumMod val="15000"/>
          <a:lumOff val="85000"/>
        </a:sysClr>
      </a:solidFill>
      <a:prstDash val="solid"/>
      <a:round/>
    </a:ln>
    <a:effectLst/>
  </c:spPr>
  <c:txPr>
    <a:bodyPr wrap="square"/>
    <a:lstStyle/>
    <a:p>
      <a:pPr>
        <a:defRPr lang="zh-CN"/>
      </a:pPr>
    </a:p>
  </c:txPr>
  <c:externalData r:id="rId1">
    <c:autoUpdate val="false"/>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true"/>
          <a:lstStyle/>
          <a:p>
            <a:pPr defTabSz="914400">
              <a:defRPr lang="zh-CN" sz="1400" b="0" i="0" u="none" strike="noStrike" kern="1200" spc="0" baseline="0">
                <a:solidFill>
                  <a:sysClr val="windowText" lastClr="000000">
                    <a:lumMod val="65000"/>
                    <a:lumOff val="35000"/>
                  </a:sysClr>
                </a:solidFill>
                <a:latin typeface="+mn-lt"/>
                <a:ea typeface="+mn-ea"/>
                <a:cs typeface="+mn-cs"/>
              </a:defRPr>
            </a:pPr>
            <a:r>
              <a:t>财政拨款决算支出总计变动情况</a:t>
            </a:r>
          </a:p>
          <a:p>
            <a:pPr defTabSz="914400">
              <a:defRPr lang="zh-CN" sz="1400" b="0" i="0" u="none" strike="noStrike" kern="1200" spc="0" baseline="0">
                <a:solidFill>
                  <a:sysClr val="windowText" lastClr="000000">
                    <a:lumMod val="65000"/>
                    <a:lumOff val="35000"/>
                  </a:sysClr>
                </a:solidFill>
                <a:latin typeface="+mn-lt"/>
                <a:ea typeface="+mn-ea"/>
                <a:cs typeface="+mn-cs"/>
              </a:defRPr>
            </a:pPr>
            <a:r>
              <a:t>单位：万元</a:t>
            </a:r>
          </a:p>
        </c:rich>
      </c:tx>
      <c:layout/>
      <c:overlay val="false"/>
      <c:spPr>
        <a:noFill/>
        <a:ln>
          <a:noFill/>
        </a:ln>
        <a:effectLst/>
      </c:spPr>
    </c:title>
    <c:autoTitleDeleted val="false"/>
    <c:plotArea>
      <c:layout/>
      <c:barChart>
        <c:barDir val="col"/>
        <c:grouping val="clustered"/>
        <c:varyColors val="false"/>
        <c:ser>
          <c:idx val="0"/>
          <c:order val="0"/>
          <c:spPr>
            <a:solidFill>
              <a:srgbClr val="5B9BD5"/>
            </a:solidFill>
            <a:ln>
              <a:noFill/>
            </a:ln>
            <a:effectLst/>
          </c:spPr>
          <c:invertIfNegative val="false"/>
          <c:dLbls>
            <c:spPr>
              <a:noFill/>
              <a:ln>
                <a:noFill/>
              </a:ln>
              <a:effectLst/>
            </c:spPr>
            <c:txPr>
              <a:bodyPr rot="0" spcFirstLastPara="0" vertOverflow="ellipsis" vert="horz" wrap="square" lIns="38100" tIns="19050" rIns="38100" bIns="19050" anchor="ctr" anchorCtr="true"/>
              <a:lstStyle/>
              <a:p>
                <a:pPr>
                  <a:defRPr lang="zh-CN" sz="900" b="0" i="0" u="none" strike="noStrike" kern="1200" baseline="0">
                    <a:solidFill>
                      <a:sysClr val="windowText" lastClr="000000">
                        <a:lumMod val="75000"/>
                        <a:lumOff val="25000"/>
                      </a:sysClr>
                    </a:solidFill>
                    <a:latin typeface="+mn-lt"/>
                    <a:ea typeface="+mn-ea"/>
                    <a:cs typeface="+mn-cs"/>
                  </a:defRPr>
                </a:pPr>
              </a:p>
            </c:txPr>
            <c:dLblPos val="outEnd"/>
            <c:showLegendKey val="false"/>
            <c:showVal val="true"/>
            <c:showCatName val="false"/>
            <c:showSerName val="false"/>
            <c:showPercent val="false"/>
            <c:showBubbleSize val="false"/>
            <c:showLeaderLines val="false"/>
            <c:extLst>
              <c:ext xmlns:c15="http://schemas.microsoft.com/office/drawing/2012/chart" uri="{CE6537A1-D6FC-4f65-9D91-7224C49458BB}">
                <c15:layout/>
                <c15:showLeaderLines val="true"/>
                <c15:leaderLines>
                  <c:spPr>
                    <a:ln w="9525" cap="flat" cmpd="sng" algn="ctr">
                      <a:solidFill>
                        <a:sysClr val="windowText" lastClr="000000">
                          <a:lumMod val="35000"/>
                          <a:lumOff val="65000"/>
                        </a:sysClr>
                      </a:solidFill>
                      <a:round/>
                    </a:ln>
                    <a:effectLst/>
                  </c:spPr>
                </c15:leaderLines>
              </c:ext>
            </c:extLst>
          </c:dLbls>
          <c:cat>
            <c:strRef>
              <c:f>[2025年支队本级决算图表.xls]Sheet2!$T$58:$T$59</c:f>
              <c:strCache>
                <c:ptCount val="2"/>
                <c:pt idx="0">
                  <c:v>2024年度</c:v>
                </c:pt>
                <c:pt idx="1">
                  <c:v>2025年度</c:v>
                </c:pt>
              </c:strCache>
            </c:strRef>
          </c:cat>
          <c:val>
            <c:numRef>
              <c:f>[2025年支队本级决算图表.xls]Sheet2!$U$58:$U$59</c:f>
              <c:numCache>
                <c:formatCode>General</c:formatCode>
                <c:ptCount val="2"/>
                <c:pt idx="0">
                  <c:v>18311.31</c:v>
                </c:pt>
                <c:pt idx="1">
                  <c:v>8523.14</c:v>
                </c:pt>
              </c:numCache>
            </c:numRef>
          </c:val>
        </c:ser>
        <c:dLbls>
          <c:showLegendKey val="false"/>
          <c:showVal val="true"/>
          <c:showCatName val="false"/>
          <c:showSerName val="false"/>
          <c:showPercent val="false"/>
          <c:showBubbleSize val="false"/>
        </c:dLbls>
        <c:gapWidth val="150"/>
        <c:overlap val="-25"/>
        <c:axId val="962719994"/>
        <c:axId val="730885479"/>
      </c:barChart>
      <c:catAx>
        <c:axId val="962719994"/>
        <c:scaling>
          <c:orientation val="minMax"/>
        </c:scaling>
        <c:delete val="false"/>
        <c:axPos val="b"/>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0" vertOverflow="ellipsis" vert="horz" wrap="square" anchor="ctr" anchorCtr="true"/>
          <a:lstStyle/>
          <a:p>
            <a:pPr>
              <a:defRPr lang="zh-CN" sz="900" b="0" i="0" u="none" strike="noStrike" kern="1200" baseline="0">
                <a:solidFill>
                  <a:sysClr val="windowText" lastClr="000000">
                    <a:lumMod val="65000"/>
                    <a:lumOff val="35000"/>
                  </a:sysClr>
                </a:solidFill>
                <a:latin typeface="+mn-lt"/>
                <a:ea typeface="+mn-ea"/>
                <a:cs typeface="+mn-cs"/>
              </a:defRPr>
            </a:pPr>
          </a:p>
        </c:txPr>
        <c:crossAx val="730885479"/>
        <c:crosses val="autoZero"/>
        <c:auto val="true"/>
        <c:lblAlgn val="ctr"/>
        <c:lblOffset val="100"/>
        <c:noMultiLvlLbl val="false"/>
      </c:catAx>
      <c:valAx>
        <c:axId val="730885479"/>
        <c:scaling>
          <c:orientation val="minMax"/>
        </c:scaling>
        <c:delete val="true"/>
        <c:axPos val="l"/>
        <c:numFmt formatCode="General" sourceLinked="true"/>
        <c:majorTickMark val="none"/>
        <c:minorTickMark val="none"/>
        <c:tickLblPos val="nextTo"/>
        <c:txPr>
          <a:bodyPr rot="-60000000" spcFirstLastPara="0" vertOverflow="ellipsis" vert="horz" wrap="square" anchor="ctr" anchorCtr="true"/>
          <a:lstStyle/>
          <a:p>
            <a:pPr>
              <a:defRPr lang="zh-CN" sz="900" b="0" i="0" u="none" strike="noStrike" kern="1200" baseline="0">
                <a:solidFill>
                  <a:sysClr val="windowText" lastClr="000000">
                    <a:lumMod val="65000"/>
                    <a:lumOff val="35000"/>
                  </a:sysClr>
                </a:solidFill>
                <a:latin typeface="+mn-lt"/>
                <a:ea typeface="+mn-ea"/>
                <a:cs typeface="+mn-cs"/>
              </a:defRPr>
            </a:pPr>
          </a:p>
        </c:txPr>
        <c:crossAx val="962719994"/>
        <c:crosses val="autoZero"/>
        <c:crossBetween val="between"/>
      </c:valAx>
      <c:spPr>
        <a:noFill/>
        <a:ln>
          <a:noFill/>
        </a:ln>
        <a:effectLst/>
      </c:spPr>
    </c:plotArea>
    <c:plotVisOnly val="true"/>
    <c:dispBlanksAs val="gap"/>
    <c:showDLblsOverMax val="false"/>
  </c:chart>
  <c:spPr>
    <a:solidFill>
      <a:sysClr val="window" lastClr="FFFFFF"/>
    </a:solidFill>
    <a:ln w="9525" cap="flat" cmpd="sng" algn="ctr">
      <a:solidFill>
        <a:sysClr val="windowText" lastClr="000000">
          <a:lumMod val="15000"/>
          <a:lumOff val="85000"/>
        </a:sysClr>
      </a:solidFill>
      <a:round/>
    </a:ln>
    <a:effectLst/>
  </c:spPr>
  <c:txPr>
    <a:bodyPr/>
    <a:lstStyle/>
    <a:p>
      <a:pPr>
        <a:defRPr lang="zh-CN"/>
      </a:pPr>
    </a:p>
  </c:txPr>
  <c:externalData r:id="rId1">
    <c:autoUpdate val="false"/>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false"/>
  <c:lang val="zh-CN"/>
  <c:roundedCorners val="false"/>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true"/>
          <a:lstStyle/>
          <a:p>
            <a:pPr defTabSz="914400">
              <a:defRPr lang="zh-CN" sz="1400" b="0" i="0" u="none" strike="noStrike" kern="1200" spc="0" baseline="0">
                <a:solidFill>
                  <a:sysClr val="windowText" lastClr="000000">
                    <a:lumMod val="65000"/>
                    <a:lumOff val="35000"/>
                  </a:sysClr>
                </a:solidFill>
                <a:latin typeface="+mn-lt"/>
                <a:ea typeface="+mn-ea"/>
                <a:cs typeface="+mn-cs"/>
              </a:defRPr>
            </a:pPr>
            <a:r>
              <a:rPr altLang="en-US" sz="1400" b="0" i="0" u="none" strike="noStrike" baseline="0">
                <a:solidFill>
                  <a:srgbClr val="333333"/>
                </a:solidFill>
                <a:latin typeface="宋体" charset="-122"/>
                <a:ea typeface="宋体" charset="-122"/>
                <a:cs typeface="宋体" charset="-122"/>
              </a:rPr>
              <a:t>财政拨款支出决算结构</a:t>
            </a:r>
            <a:endParaRPr altLang="en-US" sz="1400" b="0" i="0" u="none" strike="noStrike" baseline="0">
              <a:solidFill>
                <a:srgbClr val="333333"/>
              </a:solidFill>
              <a:latin typeface="宋体" charset="-122"/>
              <a:ea typeface="宋体" charset="-122"/>
              <a:cs typeface="宋体" charset="-122"/>
            </a:endParaRPr>
          </a:p>
          <a:p>
            <a:pPr defTabSz="914400">
              <a:defRPr lang="zh-CN" sz="1400" b="0" i="0" u="none" strike="noStrike" kern="1200" spc="0" baseline="0">
                <a:solidFill>
                  <a:sysClr val="windowText" lastClr="000000">
                    <a:lumMod val="65000"/>
                    <a:lumOff val="35000"/>
                  </a:sysClr>
                </a:solidFill>
                <a:latin typeface="+mn-lt"/>
                <a:ea typeface="+mn-ea"/>
                <a:cs typeface="+mn-cs"/>
              </a:defRPr>
            </a:pPr>
            <a:r>
              <a:rPr altLang="en-US" sz="1100" b="0" i="0" u="none" strike="noStrike" baseline="0">
                <a:solidFill>
                  <a:srgbClr val="000000"/>
                </a:solidFill>
                <a:latin typeface="宋体" charset="-122"/>
                <a:ea typeface="宋体" charset="-122"/>
                <a:cs typeface="宋体" charset="-122"/>
              </a:rPr>
              <a:t>单位：万元</a:t>
            </a:r>
            <a:endParaRPr altLang="en-US" sz="1100" b="0" i="0" u="none" strike="noStrike" baseline="0">
              <a:solidFill>
                <a:srgbClr val="000000"/>
              </a:solidFill>
              <a:latin typeface="宋体" charset="-122"/>
              <a:ea typeface="宋体" charset="-122"/>
              <a:cs typeface="宋体" charset="-122"/>
            </a:endParaRPr>
          </a:p>
        </c:rich>
      </c:tx>
      <c:layout>
        <c:manualLayout>
          <c:xMode val="edge"/>
          <c:yMode val="edge"/>
          <c:x val="0.316736111111111"/>
          <c:y val="0.0257234726688103"/>
        </c:manualLayout>
      </c:layout>
      <c:overlay val="false"/>
      <c:spPr>
        <a:noFill/>
        <a:ln>
          <a:noFill/>
        </a:ln>
        <a:effectLst/>
      </c:spPr>
    </c:title>
    <c:autoTitleDeleted val="false"/>
    <c:plotArea>
      <c:layout/>
      <c:pieChart>
        <c:varyColors val="true"/>
        <c:ser>
          <c:idx val="0"/>
          <c:order val="0"/>
          <c:explosion val="0"/>
          <c:dPt>
            <c:idx val="0"/>
            <c:bubble3D val="false"/>
            <c:explosion val="0"/>
            <c:spPr>
              <a:solidFill>
                <a:srgbClr val="5B9BD5"/>
              </a:solidFill>
              <a:ln w="19050">
                <a:solidFill>
                  <a:sysClr val="window" lastClr="FFFFFF"/>
                </a:solidFill>
              </a:ln>
              <a:effectLst/>
            </c:spPr>
          </c:dPt>
          <c:dPt>
            <c:idx val="1"/>
            <c:bubble3D val="false"/>
            <c:explosion val="0"/>
            <c:spPr>
              <a:solidFill>
                <a:srgbClr val="ED7D31"/>
              </a:solidFill>
              <a:ln w="19050">
                <a:solidFill>
                  <a:sysClr val="window" lastClr="FFFFFF"/>
                </a:solidFill>
              </a:ln>
              <a:effectLst/>
            </c:spPr>
          </c:dPt>
          <c:dPt>
            <c:idx val="2"/>
            <c:bubble3D val="false"/>
            <c:explosion val="0"/>
            <c:spPr>
              <a:solidFill>
                <a:srgbClr val="A5A5A5"/>
              </a:solidFill>
              <a:ln w="19050">
                <a:solidFill>
                  <a:sysClr val="window" lastClr="FFFFFF"/>
                </a:solidFill>
              </a:ln>
              <a:effectLst/>
            </c:spPr>
          </c:dPt>
          <c:dPt>
            <c:idx val="3"/>
            <c:bubble3D val="false"/>
            <c:explosion val="0"/>
            <c:spPr>
              <a:solidFill>
                <a:srgbClr val="FFC000"/>
              </a:solidFill>
              <a:ln w="19050">
                <a:solidFill>
                  <a:sysClr val="window" lastClr="FFFFFF"/>
                </a:solidFill>
              </a:ln>
              <a:effectLst/>
            </c:spPr>
          </c:dPt>
          <c:dLbls>
            <c:dLbl>
              <c:idx val="0"/>
              <c:layout>
                <c:manualLayout>
                  <c:x val="-0.265178571428571"/>
                  <c:y val="0.0922876727487672"/>
                </c:manualLayout>
              </c:layout>
              <c:tx>
                <c:rich>
                  <a:bodyPr rot="0" spcFirstLastPara="0" vertOverflow="ellipsis" vert="horz" wrap="square" lIns="38100" tIns="19050" rIns="38100" bIns="19050" anchor="ctr" anchorCtr="true"/>
                  <a:lstStyle/>
                  <a:p>
                    <a:pPr defTabSz="914400">
                      <a:defRPr lang="zh-CN" sz="1000" b="0" i="0" u="none" strike="noStrike" kern="1200" baseline="0">
                        <a:solidFill>
                          <a:sysClr val="windowText" lastClr="000000"/>
                        </a:solidFill>
                        <a:latin typeface="+mn-lt"/>
                        <a:ea typeface="+mn-ea"/>
                        <a:cs typeface="+mn-cs"/>
                      </a:defRPr>
                    </a:pPr>
                    <a:r>
                      <a:rPr sz="800" b="0" i="0" u="none" strike="noStrike" baseline="0">
                        <a:solidFill>
                          <a:srgbClr val="000000"/>
                        </a:solidFill>
                        <a:latin typeface="宋体" charset="-122"/>
                        <a:ea typeface="宋体" charset="-122"/>
                        <a:cs typeface="宋体" charset="-122"/>
                      </a:rPr>
                      <a:t>社会保障和就业支出</a:t>
                    </a:r>
                    <a:endParaRPr sz="800" b="0" i="0" u="none" strike="noStrike" baseline="0">
                      <a:solidFill>
                        <a:srgbClr val="000000"/>
                      </a:solidFill>
                      <a:latin typeface="宋体" charset="-122"/>
                      <a:ea typeface="宋体" charset="-122"/>
                      <a:cs typeface="宋体" charset="-122"/>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514.8</a:t>
                    </a:r>
                    <a:r>
                      <a:rPr altLang="en-US" sz="800" b="0" i="0" u="none" strike="noStrike" baseline="0">
                        <a:solidFill>
                          <a:srgbClr val="000000"/>
                        </a:solidFill>
                        <a:latin typeface="宋体" charset="-122"/>
                        <a:ea typeface="宋体" charset="-122"/>
                        <a:cs typeface="宋体" charset="-122"/>
                      </a:rPr>
                      <a:t>万元</a:t>
                    </a:r>
                    <a:endParaRPr altLang="en-US" sz="800" b="0" i="0" u="none" strike="noStrike" baseline="0">
                      <a:solidFill>
                        <a:srgbClr val="000000"/>
                      </a:solidFill>
                      <a:latin typeface="宋体" charset="-122"/>
                      <a:ea typeface="宋体" charset="-122"/>
                      <a:cs typeface="宋体" charset="-122"/>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6%</a:t>
                    </a:r>
                    <a:endParaRPr lang="en-US" altLang="zh-CN" sz="800" b="0" i="0" u="none" strike="noStrike" baseline="0">
                      <a:solidFill>
                        <a:srgbClr val="000000"/>
                      </a:solidFill>
                      <a:latin typeface="宋体" charset="-122"/>
                      <a:ea typeface="宋体" charset="-122"/>
                      <a:cs typeface="宋体" charset="-122"/>
                    </a:endParaRPr>
                  </a:p>
                </c:rich>
              </c:tx>
              <c:numFmt formatCode="General" sourceLinked="true"/>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ysClr val="windowText" lastClr="000000"/>
                      </a:solidFill>
                      <a:latin typeface="+mn-lt"/>
                      <a:ea typeface="+mn-ea"/>
                      <a:cs typeface="+mn-cs"/>
                    </a:defRPr>
                  </a:pPr>
                </a:p>
              </c:txPr>
              <c:dLblPos val="bestFit"/>
              <c:showLegendKey val="false"/>
              <c:showVal val="false"/>
              <c:showCatName val="true"/>
              <c:showSerName val="false"/>
              <c:showPercent val="true"/>
              <c:showBubbleSize val="false"/>
              <c:separator>
</c:separator>
              <c:extLst>
                <c:ext xmlns:c15="http://schemas.microsoft.com/office/drawing/2012/chart" uri="{CE6537A1-D6FC-4f65-9D91-7224C49458BB}">
                  <c15:layout>
                    <c:manualLayout>
                      <c:w val="0.257396860675094"/>
                      <c:h val="0.210289389067524"/>
                    </c:manualLayout>
                  </c15:layout>
                </c:ext>
              </c:extLst>
            </c:dLbl>
            <c:dLbl>
              <c:idx val="1"/>
              <c:layout>
                <c:manualLayout>
                  <c:x val="0.0833333333333333"/>
                  <c:y val="0.0321543408360129"/>
                </c:manualLayout>
              </c:layout>
              <c:tx>
                <c:rich>
                  <a:bodyPr rot="0" spcFirstLastPara="0" vertOverflow="ellipsis" vert="horz" wrap="square" lIns="38100" tIns="19050" rIns="38100" bIns="19050" anchor="ctr" anchorCtr="true"/>
                  <a:lstStyle/>
                  <a:p>
                    <a:pPr defTabSz="914400">
                      <a:defRPr lang="zh-CN" sz="1000" b="0" i="0" u="none" strike="noStrike" kern="1200" baseline="0">
                        <a:solidFill>
                          <a:sysClr val="windowText" lastClr="000000"/>
                        </a:solidFill>
                        <a:latin typeface="+mn-lt"/>
                        <a:ea typeface="+mn-ea"/>
                        <a:cs typeface="+mn-cs"/>
                      </a:defRPr>
                    </a:pPr>
                    <a:r>
                      <a:rPr sz="800" b="0" i="0" u="none" strike="noStrike" baseline="0">
                        <a:solidFill>
                          <a:srgbClr val="000000"/>
                        </a:solidFill>
                        <a:latin typeface="宋体" charset="-122"/>
                        <a:ea typeface="宋体" charset="-122"/>
                        <a:cs typeface="宋体" charset="-122"/>
                      </a:rPr>
                      <a:t>卫生健康支出</a:t>
                    </a:r>
                    <a:endParaRPr sz="800" b="0" i="0" u="none" strike="noStrike" baseline="0">
                      <a:solidFill>
                        <a:srgbClr val="000000"/>
                      </a:solidFill>
                      <a:latin typeface="宋体" charset="-122"/>
                      <a:ea typeface="宋体" charset="-122"/>
                      <a:cs typeface="宋体" charset="-122"/>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480.97</a:t>
                    </a:r>
                    <a:r>
                      <a:rPr altLang="en-US" sz="800" b="0" i="0" u="none" strike="noStrike" baseline="0">
                        <a:solidFill>
                          <a:srgbClr val="000000"/>
                        </a:solidFill>
                        <a:latin typeface="宋体" charset="-122"/>
                        <a:ea typeface="宋体" charset="-122"/>
                        <a:cs typeface="宋体" charset="-122"/>
                      </a:rPr>
                      <a:t>万元</a:t>
                    </a:r>
                    <a:endPar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5.6%</a:t>
                    </a:r>
                    <a:endParaRPr lang="en-US" altLang="zh-CN" sz="800" b="0" i="0" u="none" strike="noStrike" baseline="0">
                      <a:solidFill>
                        <a:srgbClr val="000000"/>
                      </a:solidFill>
                      <a:latin typeface="宋体" charset="-122"/>
                      <a:ea typeface="宋体" charset="-122"/>
                      <a:cs typeface="宋体" charset="-122"/>
                    </a:endParaRPr>
                  </a:p>
                </c:rich>
              </c:tx>
              <c:numFmt formatCode="General" sourceLinked="true"/>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ysClr val="windowText" lastClr="000000"/>
                      </a:solidFill>
                      <a:latin typeface="+mn-lt"/>
                      <a:ea typeface="+mn-ea"/>
                      <a:cs typeface="+mn-cs"/>
                    </a:defRPr>
                  </a:pPr>
                </a:p>
              </c:txPr>
              <c:dLblPos val="bestFit"/>
              <c:showLegendKey val="false"/>
              <c:showVal val="false"/>
              <c:showCatName val="true"/>
              <c:showSerName val="false"/>
              <c:showPercent val="true"/>
              <c:showBubbleSize val="false"/>
              <c:separator>
</c:separator>
              <c:extLst>
                <c:ext xmlns:c15="http://schemas.microsoft.com/office/drawing/2012/chart" uri="{CE6537A1-D6FC-4f65-9D91-7224C49458BB}">
                  <c15:layout/>
                </c:ext>
              </c:extLst>
            </c:dLbl>
            <c:dLbl>
              <c:idx val="2"/>
              <c:layout>
                <c:manualLayout>
                  <c:x val="0.11875"/>
                  <c:y val="0.045016077170418"/>
                </c:manualLayout>
              </c:layout>
              <c:tx>
                <c:rich>
                  <a:bodyPr rot="0" spcFirstLastPara="0" vertOverflow="ellipsis" vert="horz" wrap="square" lIns="38100" tIns="19050" rIns="38100" bIns="19050" anchor="ctr" anchorCtr="true"/>
                  <a:lstStyle/>
                  <a:p>
                    <a:pPr defTabSz="914400">
                      <a:defRPr lang="zh-CN" sz="1000" b="0" i="0" u="none" strike="noStrike" kern="1200" baseline="0">
                        <a:solidFill>
                          <a:sysClr val="windowText" lastClr="000000"/>
                        </a:solidFill>
                        <a:latin typeface="+mn-lt"/>
                        <a:ea typeface="+mn-ea"/>
                        <a:cs typeface="+mn-cs"/>
                      </a:defRPr>
                    </a:pPr>
                    <a:r>
                      <a:rPr sz="800" b="0" i="0" u="none" strike="noStrike" baseline="0">
                        <a:solidFill>
                          <a:srgbClr val="000000"/>
                        </a:solidFill>
                        <a:latin typeface="宋体" charset="-122"/>
                        <a:ea typeface="宋体" charset="-122"/>
                        <a:cs typeface="宋体" charset="-122"/>
                      </a:rPr>
                      <a:t>住房保障支出</a:t>
                    </a:r>
                    <a:endParaRPr sz="800" b="0" i="0" u="none" strike="noStrike" baseline="0">
                      <a:solidFill>
                        <a:srgbClr val="000000"/>
                      </a:solidFill>
                      <a:latin typeface="宋体" charset="-122"/>
                      <a:ea typeface="宋体" charset="-122"/>
                      <a:cs typeface="宋体" charset="-122"/>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610.96</a:t>
                    </a:r>
                    <a:r>
                      <a:rPr altLang="en-US" sz="800" b="0" i="0" u="none" strike="noStrike" baseline="0">
                        <a:solidFill>
                          <a:srgbClr val="000000"/>
                        </a:solidFill>
                        <a:latin typeface="宋体" charset="-122"/>
                        <a:ea typeface="宋体" charset="-122"/>
                        <a:cs typeface="宋体" charset="-122"/>
                      </a:rPr>
                      <a:t>万元</a:t>
                    </a:r>
                    <a:endPar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7.2%</a:t>
                    </a:r>
                    <a:endParaRPr lang="en-US" altLang="zh-CN" sz="800" b="0" i="0" u="none" strike="noStrike" baseline="0">
                      <a:solidFill>
                        <a:srgbClr val="000000"/>
                      </a:solidFill>
                      <a:latin typeface="宋体" charset="-122"/>
                      <a:ea typeface="宋体" charset="-122"/>
                      <a:cs typeface="宋体" charset="-122"/>
                    </a:endParaRPr>
                  </a:p>
                </c:rich>
              </c:tx>
              <c:numFmt formatCode="General" sourceLinked="true"/>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ysClr val="windowText" lastClr="000000"/>
                      </a:solidFill>
                      <a:latin typeface="+mn-lt"/>
                      <a:ea typeface="+mn-ea"/>
                      <a:cs typeface="+mn-cs"/>
                    </a:defRPr>
                  </a:pPr>
                </a:p>
              </c:txPr>
              <c:dLblPos val="bestFit"/>
              <c:showLegendKey val="false"/>
              <c:showVal val="false"/>
              <c:showCatName val="true"/>
              <c:showSerName val="false"/>
              <c:showPercent val="true"/>
              <c:showBubbleSize val="false"/>
              <c:separator>
</c:separator>
              <c:extLst>
                <c:ext xmlns:c15="http://schemas.microsoft.com/office/drawing/2012/chart" uri="{CE6537A1-D6FC-4f65-9D91-7224C49458BB}">
                  <c15:layout/>
                </c:ext>
              </c:extLst>
            </c:dLbl>
            <c:dLbl>
              <c:idx val="3"/>
              <c:layout>
                <c:manualLayout>
                  <c:x val="0.377827380952381"/>
                  <c:y val="-0.0950791048460491"/>
                </c:manualLayout>
              </c:layout>
              <c:tx>
                <c:rich>
                  <a:bodyPr rot="0" spcFirstLastPara="0" vertOverflow="ellipsis" vert="horz" wrap="square" lIns="38100" tIns="19050" rIns="38100" bIns="19050" anchor="ctr" anchorCtr="true"/>
                  <a:lstStyle/>
                  <a:p>
                    <a:pPr defTabSz="914400">
                      <a:defRPr lang="zh-CN" sz="1000" b="0" i="0" u="none" strike="noStrike" kern="1200" baseline="0">
                        <a:solidFill>
                          <a:sysClr val="windowText" lastClr="000000"/>
                        </a:solidFill>
                        <a:latin typeface="+mn-lt"/>
                        <a:ea typeface="+mn-ea"/>
                        <a:cs typeface="+mn-cs"/>
                      </a:defRPr>
                    </a:pPr>
                    <a:r>
                      <a:rPr sz="800" b="0" i="0" u="none" strike="noStrike" baseline="0">
                        <a:solidFill>
                          <a:srgbClr val="000000"/>
                        </a:solidFill>
                        <a:latin typeface="宋体" charset="-122"/>
                        <a:ea typeface="宋体" charset="-122"/>
                        <a:cs typeface="宋体" charset="-122"/>
                      </a:rPr>
                      <a:t>灾害防治和应急管理支出</a:t>
                    </a:r>
                    <a:endParaRPr sz="800" b="0" i="0" u="none" strike="noStrike" baseline="0">
                      <a:solidFill>
                        <a:srgbClr val="000000"/>
                      </a:solidFill>
                      <a:latin typeface="宋体" charset="-122"/>
                      <a:ea typeface="宋体" charset="-122"/>
                      <a:cs typeface="宋体" charset="-122"/>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6916.41</a:t>
                    </a:r>
                    <a:r>
                      <a:rPr altLang="en-US" sz="800" b="0" i="0" u="none" strike="noStrike" baseline="0">
                        <a:solidFill>
                          <a:srgbClr val="000000"/>
                        </a:solidFill>
                        <a:latin typeface="宋体" charset="-122"/>
                        <a:ea typeface="宋体" charset="-122"/>
                        <a:cs typeface="宋体" charset="-122"/>
                      </a:rPr>
                      <a:t>万元</a:t>
                    </a:r>
                    <a:endParaRPr altLang="en-US" sz="800" b="0" i="0" u="none" strike="noStrike" baseline="0">
                      <a:solidFill>
                        <a:srgbClr val="000000"/>
                      </a:solidFill>
                      <a:latin typeface="宋体" charset="-122"/>
                      <a:ea typeface="宋体" charset="-122"/>
                      <a:cs typeface="宋体" charset="-122"/>
                    </a:endParaRPr>
                  </a:p>
                  <a:p>
                    <a:pPr defTabSz="914400">
                      <a:defRPr lang="zh-CN" sz="1000" b="0" i="0" u="none" strike="noStrike" kern="1200" baseline="0">
                        <a:solidFill>
                          <a:sysClr val="windowText" lastClr="000000"/>
                        </a:solidFill>
                        <a:latin typeface="+mn-lt"/>
                        <a:ea typeface="+mn-ea"/>
                        <a:cs typeface="+mn-cs"/>
                      </a:defRPr>
                    </a:pPr>
                    <a:r>
                      <a:rPr lang="en-US" altLang="zh-CN" sz="800" b="0" i="0" u="none" strike="noStrike" baseline="0">
                        <a:solidFill>
                          <a:srgbClr val="000000"/>
                        </a:solidFill>
                        <a:latin typeface="Calibri" panose="020F0502020204030204" pitchFamily="2" charset="0"/>
                        <a:ea typeface="Calibri" panose="020F0502020204030204" pitchFamily="2" charset="0"/>
                        <a:cs typeface="Calibri" panose="020F0502020204030204" pitchFamily="2" charset="0"/>
                      </a:rPr>
                      <a:t>81.1%</a:t>
                    </a:r>
                    <a:endParaRPr lang="en-US" altLang="zh-CN" sz="800" b="0" i="0" u="none" strike="noStrike" baseline="0">
                      <a:solidFill>
                        <a:srgbClr val="000000"/>
                      </a:solidFill>
                      <a:latin typeface="宋体" charset="-122"/>
                      <a:ea typeface="宋体" charset="-122"/>
                      <a:cs typeface="宋体" charset="-122"/>
                    </a:endParaRPr>
                  </a:p>
                </c:rich>
              </c:tx>
              <c:numFmt formatCode="General" sourceLinked="true"/>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ysClr val="windowText" lastClr="000000"/>
                      </a:solidFill>
                      <a:latin typeface="+mn-lt"/>
                      <a:ea typeface="+mn-ea"/>
                      <a:cs typeface="+mn-cs"/>
                    </a:defRPr>
                  </a:pPr>
                </a:p>
              </c:txPr>
              <c:dLblPos val="bestFit"/>
              <c:showLegendKey val="false"/>
              <c:showVal val="false"/>
              <c:showCatName val="true"/>
              <c:showSerName val="false"/>
              <c:showPercent val="true"/>
              <c:showBubbleSize val="false"/>
              <c:separator>
</c:separator>
              <c:extLst>
                <c:ext xmlns:c15="http://schemas.microsoft.com/office/drawing/2012/chart" uri="{CE6537A1-D6FC-4f65-9D91-7224C49458BB}">
                  <c15:layout>
                    <c:manualLayout>
                      <c:w val="0.201833587998333"/>
                      <c:h val="0.196998928188639"/>
                    </c:manualLayout>
                  </c15:layout>
                </c:ext>
              </c:extLst>
            </c:dLbl>
            <c:numFmt formatCode="General" sourceLinked="true"/>
            <c:spPr>
              <a:noFill/>
              <a:ln>
                <a:noFill/>
              </a:ln>
              <a:effectLst/>
            </c:spPr>
            <c:txPr>
              <a:bodyPr rot="0" spcFirstLastPara="0" vertOverflow="ellipsis" vert="horz" wrap="square" lIns="38100" tIns="19050" rIns="38100" bIns="19050" anchor="ctr" anchorCtr="true"/>
              <a:lstStyle/>
              <a:p>
                <a:pPr>
                  <a:defRPr lang="zh-CN" sz="1000" b="0" i="0" u="none" strike="noStrike" kern="1200" baseline="0">
                    <a:solidFill>
                      <a:sysClr val="windowText" lastClr="000000"/>
                    </a:solidFill>
                    <a:latin typeface="+mn-lt"/>
                    <a:ea typeface="+mn-ea"/>
                    <a:cs typeface="+mn-cs"/>
                  </a:defRPr>
                </a:pPr>
              </a:p>
            </c:txPr>
            <c:dLblPos val="outEnd"/>
            <c:showLegendKey val="false"/>
            <c:showVal val="false"/>
            <c:showCatName val="true"/>
            <c:showSerName val="false"/>
            <c:showPercent val="true"/>
            <c:showBubbleSize val="false"/>
            <c:separator>
</c:separator>
            <c:showLeaderLines val="true"/>
            <c:extLst>
              <c:ext xmlns:c15="http://schemas.microsoft.com/office/drawing/2012/chart" uri="{CE6537A1-D6FC-4f65-9D91-7224C49458BB}">
                <c15:layout/>
                <c15:showLeaderLines val="true"/>
                <c15:leaderLines>
                  <c:spPr>
                    <a:ln w="9525" cap="flat" cmpd="sng" algn="ctr">
                      <a:solidFill>
                        <a:srgbClr val="000000">
                          <a:alpha val="100000"/>
                        </a:srgbClr>
                      </a:solidFill>
                      <a:prstDash val="solid"/>
                      <a:round/>
                    </a:ln>
                  </c:spPr>
                </c15:leaderLines>
              </c:ext>
            </c:extLst>
          </c:dLbls>
          <c:cat>
            <c:strRef>
              <c:f>[2025年支队本级决算图表...xls]Sheet1!$M$85:$M$88</c:f>
              <c:strCache>
                <c:ptCount val="4"/>
                <c:pt idx="0">
                  <c:v>社会保障和就业支出</c:v>
                </c:pt>
                <c:pt idx="1">
                  <c:v>卫生健康支出</c:v>
                </c:pt>
                <c:pt idx="2">
                  <c:v>住房保障支出</c:v>
                </c:pt>
                <c:pt idx="3">
                  <c:v>灾害防治和应急管理支出</c:v>
                </c:pt>
              </c:strCache>
            </c:strRef>
          </c:cat>
          <c:val>
            <c:numRef>
              <c:f>[2025年支队本级决算图表...xls]Sheet1!$N$85:$N$88</c:f>
              <c:numCache>
                <c:formatCode>General</c:formatCode>
                <c:ptCount val="4"/>
                <c:pt idx="0">
                  <c:v>514.8</c:v>
                </c:pt>
                <c:pt idx="1">
                  <c:v>480.97</c:v>
                </c:pt>
                <c:pt idx="2">
                  <c:v>610.96</c:v>
                </c:pt>
                <c:pt idx="3">
                  <c:v>6916.41</c:v>
                </c:pt>
              </c:numCache>
            </c:numRef>
          </c:val>
        </c:ser>
        <c:dLbls>
          <c:showLegendKey val="false"/>
          <c:showVal val="false"/>
          <c:showCatName val="false"/>
          <c:showSerName val="false"/>
          <c:showPercent val="false"/>
          <c:showBubbleSize val="false"/>
          <c:showLeaderLines val="true"/>
        </c:dLbls>
        <c:firstSliceAng val="0"/>
      </c:pieChart>
      <c:spPr>
        <a:noFill/>
        <a:ln>
          <a:noFill/>
        </a:ln>
        <a:effectLst/>
      </c:spPr>
    </c:plotArea>
    <c:legend>
      <c:legendPos val="b"/>
      <c:layout>
        <c:manualLayout>
          <c:xMode val="edge"/>
          <c:yMode val="edge"/>
          <c:x val="0.025297619047619"/>
          <c:y val="0.836624775583483"/>
          <c:w val="0.908482142857143"/>
          <c:h val="0.147441651705566"/>
        </c:manualLayout>
      </c:layout>
      <c:overlay val="false"/>
      <c:txPr>
        <a:bodyPr rot="0" spcFirstLastPara="0" vertOverflow="ellipsis" vert="horz" wrap="square" anchor="ctr" anchorCtr="true"/>
        <a:lstStyle/>
        <a:p>
          <a:pPr>
            <a:defRPr lang="zh-CN" sz="900" b="0" i="0" u="none" strike="noStrike" kern="1200" baseline="0">
              <a:solidFill>
                <a:sysClr val="windowText" lastClr="000000">
                  <a:lumMod val="65000"/>
                  <a:lumOff val="35000"/>
                </a:sysClr>
              </a:solidFill>
              <a:latin typeface="+mn-lt"/>
              <a:ea typeface="+mn-ea"/>
              <a:cs typeface="+mn-cs"/>
            </a:defRPr>
          </a:pPr>
        </a:p>
      </c:txPr>
    </c:legend>
    <c:plotVisOnly val="true"/>
    <c:dispBlanksAs val="gap"/>
    <c:showDLblsOverMax val="false"/>
  </c:chart>
  <c:spPr>
    <a:solidFill>
      <a:sysClr val="window" lastClr="FFFFFF"/>
    </a:solidFill>
    <a:ln w="9525" cap="flat" cmpd="sng" algn="ctr">
      <a:solidFill>
        <a:sysClr val="windowText" lastClr="000000">
          <a:lumMod val="15000"/>
          <a:lumOff val="85000"/>
        </a:sysClr>
      </a:solidFill>
      <a:prstDash val="solid"/>
      <a:round/>
    </a:ln>
    <a:effectLst/>
  </c:spPr>
  <c:txPr>
    <a:bodyPr wrap="square"/>
    <a:lstStyle/>
    <a:p>
      <a:pPr>
        <a:defRPr lang="zh-CN"/>
      </a:pPr>
    </a:p>
  </c:txPr>
  <c:externalData r:id="rId1">
    <c:autoUpdate val="false"/>
  </c:externalData>
</c:chartSpace>
</file>

<file path=word/charts/colors1.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ysClr val="windowText" lastClr="000000">
        <a:lumMod val="65000"/>
        <a:lumOff val="35000"/>
      </a:sysClr>
    </cs:fontRef>
    <cs:defRPr sz="1000" kern="1200"/>
  </cs:axisTitle>
  <cs:categoryAxis>
    <cs:lnRef idx="0"/>
    <cs:fillRef idx="0"/>
    <cs:effectRef idx="0"/>
    <cs:fontRef idx="minor">
      <a:sysClr val="windowText" lastClr="000000">
        <a:lumMod val="65000"/>
        <a:lumOff val="35000"/>
      </a:sysClr>
    </cs:fontRef>
    <cs:spPr>
      <a:ln w="9525" cap="flat" cmpd="sng" algn="ctr">
        <a:solidFill>
          <a:sysClr val="windowText" lastClr="000000">
            <a:lumMod val="15000"/>
            <a:lumOff val="85000"/>
          </a:sysClr>
        </a:solidFill>
        <a:round/>
      </a:ln>
    </cs:spPr>
    <cs:defRPr sz="900" kern="1200"/>
  </cs:categoryAxis>
  <cs:chartArea mods="allowNoFillOverride allowNoLineOverride">
    <cs:lnRef idx="0"/>
    <cs:fillRef idx="0"/>
    <cs:effectRef idx="0"/>
    <cs:fontRef idx="minor">
      <a:sysClr val="windowText" lastClr="000000"/>
    </cs:fontRef>
    <cs:spPr>
      <a:solidFill>
        <a:sysClr val="window" lastClr="FFFFFF"/>
      </a:solidFill>
      <a:ln w="9525" cap="flat" cmpd="sng" algn="ctr">
        <a:solidFill>
          <a:sysClr val="windowText" lastClr="000000">
            <a:lumMod val="15000"/>
            <a:lumOff val="85000"/>
          </a:sysClr>
        </a:solidFill>
        <a:round/>
      </a:ln>
    </cs:spPr>
    <cs:defRPr sz="900" kern="1200"/>
  </cs:chartArea>
  <cs:dataLabel>
    <cs:lnRef idx="0"/>
    <cs:fillRef idx="0"/>
    <cs:effectRef idx="0"/>
    <cs:fontRef idx="minor">
      <a:sysClr val="windowText" lastClr="000000">
        <a:lumMod val="75000"/>
        <a:lumOff val="25000"/>
      </a:sysClr>
    </cs:fontRef>
    <cs:defRPr sz="900" kern="1200"/>
  </cs:dataLabel>
  <cs:dataLabelCallout>
    <cs:lnRef idx="0"/>
    <cs:fillRef idx="0"/>
    <cs:effectRef idx="0"/>
    <cs:fontRef idx="minor">
      <a:sysClr val="windowText" lastClr="000000">
        <a:lumMod val="65000"/>
        <a:lumOff val="35000"/>
      </a:sysClr>
    </cs:fontRef>
    <cs:spPr>
      <a:solidFill>
        <a:sysClr val="window" lastClr="FFFFFF"/>
      </a:solidFill>
      <a:ln>
        <a:solidFill>
          <a:sysClr val="windowText" lastClr="000000">
            <a:lumMod val="25000"/>
            <a:lumOff val="75000"/>
          </a:sysClr>
        </a:solidFill>
      </a:ln>
    </cs:spPr>
    <cs:defRPr sz="900" kern="1200"/>
    <cs:bodyPr rot="0" spcFirstLastPara="1" vertOverflow="clip" horzOverflow="clip" vert="horz" wrap="square" lIns="36576" tIns="18288" rIns="36576" bIns="18288" anchor="ctr" anchorCtr="true">
      <a:spAutoFit/>
    </cs:bodyPr>
  </cs:dataLabelCallout>
  <cs:dataPoint>
    <cs:lnRef idx="0"/>
    <cs:fillRef idx="1">
      <cs:styleClr val="auto"/>
    </cs:fillRef>
    <cs:effectRef idx="0"/>
    <cs:fontRef idx="minor">
      <a:sysClr val="windowText" lastClr="000000"/>
    </cs:fontRef>
    <cs:spPr>
      <a:ln w="19050">
        <a:solidFill>
          <a:sysClr val="window" lastClr="FFFFFF"/>
        </a:solidFill>
      </a:ln>
    </cs:spPr>
  </cs:dataPoint>
  <cs:dataPoint3D>
    <cs:lnRef idx="0"/>
    <cs:fillRef idx="1">
      <cs:styleClr val="auto"/>
    </cs:fillRef>
    <cs:effectRef idx="0"/>
    <cs:fontRef idx="minor">
      <a:sysClr val="windowText" lastClr="000000"/>
    </cs:fontRef>
    <cs:spPr>
      <a:ln w="25400">
        <a:solidFill>
          <a:sysClr val="window" lastClr="FFFFFF"/>
        </a:solidFill>
      </a:ln>
    </cs:spPr>
  </cs:dataPoint3D>
  <cs:dataPointLine>
    <cs:lnRef idx="0">
      <cs:styleClr val="auto"/>
    </cs:lnRef>
    <cs:fillRef idx="0"/>
    <cs:effectRef idx="0"/>
    <cs:fontRef idx="minor">
      <a:sysClr val="windowText" lastClr="000000"/>
    </cs:fontRef>
    <cs:spPr>
      <a:ln w="28575" cap="rnd">
        <a:solidFill>
          <a:srgbClr val="FFFFFF"/>
        </a:solidFill>
        <a:round/>
      </a:ln>
    </cs:spPr>
  </cs:dataPointLine>
  <cs:dataPointMarker>
    <cs:lnRef idx="0">
      <cs:styleClr val="auto"/>
    </cs:lnRef>
    <cs:fillRef idx="1">
      <cs:styleClr val="auto"/>
    </cs:fillRef>
    <cs:effectRef idx="0"/>
    <cs:fontRef idx="minor">
      <a:sysClr val="windowText" lastClr="000000"/>
    </cs:fontRef>
    <cs:spPr>
      <a:ln w="9525">
        <a:solidFill>
          <a:srgbClr val="FFFFFF"/>
        </a:solidFill>
      </a:ln>
    </cs:spPr>
  </cs:dataPointMarker>
  <cs:dataPointMarkerLayout symbol="circle" size="5"/>
  <cs:dataPointWireframe>
    <cs:lnRef idx="0">
      <cs:styleClr val="auto"/>
    </cs:lnRef>
    <cs:fillRef idx="0"/>
    <cs:effectRef idx="0"/>
    <cs:fontRef idx="minor">
      <a:sysClr val="windowText" lastClr="000000"/>
    </cs:fontRef>
    <cs:spPr>
      <a:ln w="9525" cap="rnd">
        <a:solidFill>
          <a:srgbClr val="FFFFFF"/>
        </a:solidFill>
        <a:round/>
      </a:ln>
    </cs:spPr>
  </cs:dataPointWireframe>
  <cs:dataTable>
    <cs:lnRef idx="0"/>
    <cs:fillRef idx="0"/>
    <cs:effectRef idx="0"/>
    <cs:fontRef idx="minor">
      <a:sysClr val="windowText" lastClr="000000">
        <a:lumMod val="65000"/>
        <a:lumOff val="35000"/>
      </a:sysClr>
    </cs:fontRef>
    <cs:spPr>
      <a:noFill/>
      <a:ln w="9525" cap="flat" cmpd="sng" algn="ctr">
        <a:solidFill>
          <a:sysClr val="windowText" lastClr="000000">
            <a:lumMod val="15000"/>
            <a:lumOff val="85000"/>
          </a:sysClr>
        </a:solidFill>
        <a:round/>
      </a:ln>
    </cs:spPr>
    <cs:defRPr sz="900" kern="1200"/>
  </cs:dataTable>
  <cs:downBar>
    <cs:lnRef idx="0"/>
    <cs:fillRef idx="0"/>
    <cs:effectRef idx="0"/>
    <cs:fontRef idx="minor">
      <a:sysClr val="windowText" lastClr="000000"/>
    </cs:fontRef>
    <cs:spPr>
      <a:solidFill>
        <a:sysClr val="windowText" lastClr="000000">
          <a:lumMod val="75000"/>
          <a:lumOff val="25000"/>
        </a:sysClr>
      </a:solidFill>
      <a:ln w="9525" cap="flat" cmpd="sng" algn="ctr">
        <a:solidFill>
          <a:sysClr val="windowText" lastClr="000000">
            <a:lumMod val="65000"/>
            <a:lumOff val="35000"/>
          </a:sysClr>
        </a:solidFill>
        <a:round/>
      </a:ln>
    </cs:spPr>
  </cs:downBar>
  <cs:dropLine>
    <cs:lnRef idx="0"/>
    <cs:fillRef idx="0"/>
    <cs:effectRef idx="0"/>
    <cs:fontRef idx="minor">
      <a:sysClr val="windowText" lastClr="000000"/>
    </cs:fontRef>
    <cs:spPr>
      <a:ln w="9525" cap="flat" cmpd="sng" algn="ctr">
        <a:solidFill>
          <a:sysClr val="windowText" lastClr="000000">
            <a:lumMod val="35000"/>
            <a:lumOff val="65000"/>
          </a:sysClr>
        </a:solidFill>
        <a:round/>
      </a:ln>
    </cs:spPr>
  </cs:dropLine>
  <cs:errorBar>
    <cs:lnRef idx="0"/>
    <cs:fillRef idx="0"/>
    <cs:effectRef idx="0"/>
    <cs:fontRef idx="minor">
      <a:sysClr val="windowText" lastClr="000000"/>
    </cs:fontRef>
    <cs:spPr>
      <a:ln w="9525" cap="flat" cmpd="sng" algn="ctr">
        <a:solidFill>
          <a:sysClr val="windowText" lastClr="000000">
            <a:lumMod val="65000"/>
            <a:lumOff val="35000"/>
          </a:sysClr>
        </a:solidFill>
        <a:round/>
      </a:ln>
    </cs:spPr>
  </cs:errorBar>
  <cs:floor>
    <cs:lnRef idx="0"/>
    <cs:fillRef idx="0"/>
    <cs:effectRef idx="0"/>
    <cs:fontRef idx="minor">
      <a:sysClr val="windowText" lastClr="000000"/>
    </cs:fontRef>
    <cs:spPr>
      <a:noFill/>
      <a:ln>
        <a:noFill/>
      </a:ln>
    </cs:spPr>
  </cs:floor>
  <cs:gridlineMajor>
    <cs:lnRef idx="0"/>
    <cs:fillRef idx="0"/>
    <cs:effectRef idx="0"/>
    <cs:fontRef idx="minor">
      <a:sysClr val="windowText" lastClr="000000"/>
    </cs:fontRef>
    <cs:spPr>
      <a:ln w="9525" cap="flat" cmpd="sng" algn="ctr">
        <a:solidFill>
          <a:sysClr val="windowText" lastClr="000000">
            <a:lumMod val="15000"/>
            <a:lumOff val="85000"/>
          </a:sysClr>
        </a:solidFill>
        <a:round/>
      </a:ln>
    </cs:spPr>
  </cs:gridlineMajor>
  <cs:gridlineMinor>
    <cs:lnRef idx="0"/>
    <cs:fillRef idx="0"/>
    <cs:effectRef idx="0"/>
    <cs:fontRef idx="minor">
      <a:sysClr val="windowText" lastClr="000000"/>
    </cs:fontRef>
    <cs:spPr>
      <a:ln w="9525" cap="flat" cmpd="sng" algn="ctr">
        <a:solidFill>
          <a:sysClr val="windowText" lastClr="000000">
            <a:lumMod val="5000"/>
            <a:lumOff val="95000"/>
          </a:sysClr>
        </a:solidFill>
        <a:round/>
      </a:ln>
    </cs:spPr>
  </cs:gridlineMinor>
  <cs:hiLoLine>
    <cs:lnRef idx="0"/>
    <cs:fillRef idx="0"/>
    <cs:effectRef idx="0"/>
    <cs:fontRef idx="minor">
      <a:sysClr val="windowText" lastClr="000000"/>
    </cs:fontRef>
    <cs:spPr>
      <a:ln w="9525" cap="flat" cmpd="sng" algn="ctr">
        <a:solidFill>
          <a:sysClr val="windowText" lastClr="000000">
            <a:lumMod val="50000"/>
            <a:lumOff val="50000"/>
          </a:sysClr>
        </a:solidFill>
        <a:round/>
      </a:ln>
    </cs:spPr>
  </cs:hiLoLine>
  <cs:leaderLine>
    <cs:lnRef idx="0"/>
    <cs:fillRef idx="0"/>
    <cs:effectRef idx="0"/>
    <cs:fontRef idx="minor">
      <a:sysClr val="windowText" lastClr="000000"/>
    </cs:fontRef>
    <cs:spPr>
      <a:ln w="9525" cap="flat" cmpd="sng" algn="ctr">
        <a:solidFill>
          <a:sysClr val="windowText" lastClr="000000">
            <a:lumMod val="35000"/>
            <a:lumOff val="65000"/>
          </a:sysClr>
        </a:solidFill>
        <a:round/>
      </a:ln>
    </cs:spPr>
  </cs:leaderLine>
  <cs:legend>
    <cs:lnRef idx="0"/>
    <cs:fillRef idx="0"/>
    <cs:effectRef idx="0"/>
    <cs:fontRef idx="minor">
      <a:sysClr val="windowText" lastClr="000000">
        <a:lumMod val="65000"/>
        <a:lumOff val="35000"/>
      </a:sysClr>
    </cs:fontRef>
    <cs:defRPr sz="900" kern="1200"/>
  </cs:legend>
  <cs:plotArea mods="allowNoFillOverride allowNoLineOverride">
    <cs:lnRef idx="0"/>
    <cs:fillRef idx="0"/>
    <cs:effectRef idx="0"/>
    <cs:fontRef idx="minor">
      <a:sysClr val="windowText" lastClr="000000"/>
    </cs:fontRef>
  </cs:plotArea>
  <cs:plotArea3D mods="allowNoFillOverride allowNoLineOverride">
    <cs:lnRef idx="0"/>
    <cs:fillRef idx="0"/>
    <cs:effectRef idx="0"/>
    <cs:fontRef idx="minor">
      <a:sysClr val="windowText" lastClr="000000"/>
    </cs:fontRef>
  </cs:plotArea3D>
  <cs:seriesAxis>
    <cs:lnRef idx="0"/>
    <cs:fillRef idx="0"/>
    <cs:effectRef idx="0"/>
    <cs:fontRef idx="minor">
      <a:sysClr val="windowText" lastClr="000000">
        <a:lumMod val="65000"/>
        <a:lumOff val="35000"/>
      </a:sysClr>
    </cs:fontRef>
    <cs:defRPr sz="900" kern="1200"/>
  </cs:seriesAxis>
  <cs:seriesLine>
    <cs:lnRef idx="0"/>
    <cs:fillRef idx="0"/>
    <cs:effectRef idx="0"/>
    <cs:fontRef idx="minor">
      <a:sysClr val="windowText" lastClr="000000"/>
    </cs:fontRef>
    <cs:spPr>
      <a:ln w="9525" cap="flat" cmpd="sng" algn="ctr">
        <a:solidFill>
          <a:sysClr val="windowText" lastClr="000000">
            <a:lumMod val="35000"/>
            <a:lumOff val="65000"/>
          </a:sysClr>
        </a:solidFill>
        <a:round/>
      </a:ln>
    </cs:spPr>
  </cs:seriesLine>
  <cs:title>
    <cs:lnRef idx="0"/>
    <cs:fillRef idx="0"/>
    <cs:effectRef idx="0"/>
    <cs:fontRef idx="minor">
      <a:sysClr val="windowText" lastClr="000000">
        <a:lumMod val="65000"/>
        <a:lumOff val="35000"/>
      </a:sysClr>
    </cs:fontRef>
    <cs:defRPr sz="1400" b="0" kern="1200" spc="0" baseline="0"/>
  </cs:title>
  <cs:trendline>
    <cs:lnRef idx="0">
      <cs:styleClr val="auto"/>
    </cs:lnRef>
    <cs:fillRef idx="0"/>
    <cs:effectRef idx="0"/>
    <cs:fontRef idx="minor">
      <a:sysClr val="windowText" lastClr="000000"/>
    </cs:fontRef>
    <cs:spPr>
      <a:ln w="19050" cap="rnd">
        <a:solidFill>
          <a:srgbClr val="FFFFFF"/>
        </a:solidFill>
        <a:prstDash val="sysDot"/>
      </a:ln>
    </cs:spPr>
  </cs:trendline>
  <cs:trendlineLabel>
    <cs:lnRef idx="0"/>
    <cs:fillRef idx="0"/>
    <cs:effectRef idx="0"/>
    <cs:fontRef idx="minor">
      <a:sysClr val="windowText" lastClr="000000">
        <a:lumMod val="65000"/>
        <a:lumOff val="35000"/>
      </a:sysClr>
    </cs:fontRef>
    <cs:defRPr sz="900" kern="1200"/>
  </cs:trendlineLabel>
  <cs:upBar>
    <cs:lnRef idx="0"/>
    <cs:fillRef idx="0"/>
    <cs:effectRef idx="0"/>
    <cs:fontRef idx="minor">
      <a:sysClr val="windowText" lastClr="000000"/>
    </cs:fontRef>
    <cs:spPr>
      <a:solidFill>
        <a:sysClr val="window" lastClr="FFFFFF"/>
      </a:solidFill>
      <a:ln w="9525" cap="flat" cmpd="sng" algn="ctr">
        <a:solidFill>
          <a:sysClr val="windowText" lastClr="000000">
            <a:lumMod val="65000"/>
            <a:lumOff val="35000"/>
          </a:sysClr>
        </a:solidFill>
        <a:round/>
      </a:ln>
    </cs:spPr>
  </cs:upBar>
  <cs:valueAxis>
    <cs:lnRef idx="0"/>
    <cs:fillRef idx="0"/>
    <cs:effectRef idx="0"/>
    <cs:fontRef idx="minor">
      <a:sysClr val="windowText" lastClr="000000">
        <a:lumMod val="65000"/>
        <a:lumOff val="35000"/>
      </a:sysClr>
    </cs:fontRef>
    <cs:defRPr sz="900" kern="1200"/>
  </cs:valueAxis>
  <cs:wall>
    <cs:lnRef idx="0"/>
    <cs:fillRef idx="0"/>
    <cs:effectRef idx="0"/>
    <cs:fontRef idx="minor">
      <a:sysClr val="windowText" lastClr="000000"/>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ysClr val="windowText" lastClr="000000">
        <a:lumMod val="65000"/>
        <a:lumOff val="35000"/>
      </a:sysClr>
    </cs:fontRef>
    <cs:defRPr sz="1000" kern="1200"/>
  </cs:axisTitle>
  <cs:categoryAxis>
    <cs:lnRef idx="0"/>
    <cs:fillRef idx="0"/>
    <cs:effectRef idx="0"/>
    <cs:fontRef idx="minor">
      <a:sysClr val="windowText" lastClr="000000">
        <a:lumMod val="65000"/>
        <a:lumOff val="35000"/>
      </a:sysClr>
    </cs:fontRef>
    <cs:spPr>
      <a:ln w="9525" cap="flat" cmpd="sng" algn="ctr">
        <a:solidFill>
          <a:sysClr val="windowText" lastClr="000000">
            <a:lumMod val="15000"/>
            <a:lumOff val="85000"/>
          </a:sysClr>
        </a:solidFill>
        <a:round/>
      </a:ln>
    </cs:spPr>
    <cs:defRPr sz="900" kern="1200"/>
  </cs:categoryAxis>
  <cs:chartArea mods="allowNoFillOverride allowNoLineOverride">
    <cs:lnRef idx="0"/>
    <cs:fillRef idx="0"/>
    <cs:effectRef idx="0"/>
    <cs:fontRef idx="minor">
      <a:sysClr val="windowText" lastClr="000000"/>
    </cs:fontRef>
    <cs:spPr>
      <a:solidFill>
        <a:sysClr val="window" lastClr="FFFFFF"/>
      </a:solidFill>
      <a:ln w="9525" cap="flat" cmpd="sng" algn="ctr">
        <a:solidFill>
          <a:sysClr val="windowText" lastClr="000000">
            <a:lumMod val="15000"/>
            <a:lumOff val="85000"/>
          </a:sysClr>
        </a:solidFill>
        <a:round/>
      </a:ln>
    </cs:spPr>
    <cs:defRPr sz="1000" kern="1200"/>
  </cs:chartArea>
  <cs:dataLabel>
    <cs:lnRef idx="0"/>
    <cs:fillRef idx="0"/>
    <cs:effectRef idx="0"/>
    <cs:fontRef idx="minor">
      <a:sysClr val="windowText" lastClr="000000">
        <a:lumMod val="75000"/>
        <a:lumOff val="25000"/>
      </a:sysClr>
    </cs:fontRef>
    <cs:defRPr sz="900" kern="1200"/>
  </cs:dataLabel>
  <cs:dataLabelCallout>
    <cs:lnRef idx="0"/>
    <cs:fillRef idx="0"/>
    <cs:effectRef idx="0"/>
    <cs:fontRef idx="minor">
      <a:sysClr val="windowText" lastClr="000000">
        <a:lumMod val="65000"/>
        <a:lumOff val="35000"/>
      </a:sysClr>
    </cs:fontRef>
    <cs:spPr>
      <a:solidFill>
        <a:sysClr val="window" lastClr="FFFFFF"/>
      </a:solidFill>
      <a:ln>
        <a:solidFill>
          <a:sysClr val="windowText" lastClr="000000">
            <a:lumMod val="25000"/>
            <a:lumOff val="75000"/>
          </a:sysClr>
        </a:solidFill>
      </a:ln>
    </cs:spPr>
    <cs:defRPr sz="900" kern="1200"/>
    <cs:bodyPr rot="0" spcFirstLastPara="1" vertOverflow="clip" horzOverflow="clip" vert="horz" wrap="square" lIns="36576" tIns="18288" rIns="36576" bIns="18288" anchor="ctr" anchorCtr="true">
      <a:spAutoFit/>
    </cs:bodyPr>
  </cs:dataLabelCallout>
  <cs:dataPoint>
    <cs:lnRef idx="0"/>
    <cs:fillRef idx="1">
      <cs:styleClr val="auto"/>
    </cs:fillRef>
    <cs:effectRef idx="0"/>
    <cs:fontRef idx="minor">
      <a:sysClr val="windowText" lastClr="000000"/>
    </cs:fontRef>
  </cs:dataPoint>
  <cs:dataPoint3D>
    <cs:lnRef idx="0"/>
    <cs:fillRef idx="1">
      <cs:styleClr val="auto"/>
    </cs:fillRef>
    <cs:effectRef idx="0"/>
    <cs:fontRef idx="minor">
      <a:sysClr val="windowText" lastClr="000000"/>
    </cs:fontRef>
  </cs:dataPoint3D>
  <cs:dataPointLine>
    <cs:lnRef idx="0">
      <cs:styleClr val="auto"/>
    </cs:lnRef>
    <cs:fillRef idx="1"/>
    <cs:effectRef idx="0"/>
    <cs:fontRef idx="minor">
      <a:sysClr val="windowText" lastClr="000000"/>
    </cs:fontRef>
    <cs:spPr>
      <a:ln w="28575" cap="rnd">
        <a:solidFill>
          <a:srgbClr val="FFFFFF"/>
        </a:solidFill>
        <a:round/>
      </a:ln>
    </cs:spPr>
  </cs:dataPointLine>
  <cs:dataPointMarker>
    <cs:lnRef idx="0">
      <cs:styleClr val="auto"/>
    </cs:lnRef>
    <cs:fillRef idx="1">
      <cs:styleClr val="auto"/>
    </cs:fillRef>
    <cs:effectRef idx="0"/>
    <cs:fontRef idx="minor">
      <a:sysClr val="windowText" lastClr="000000"/>
    </cs:fontRef>
    <cs:spPr>
      <a:ln w="9525">
        <a:solidFill>
          <a:srgbClr val="FFFFFF"/>
        </a:solidFill>
      </a:ln>
    </cs:spPr>
  </cs:dataPointMarker>
  <cs:dataPointMarkerLayout symbol="circle" size="5"/>
  <cs:dataPointWireframe>
    <cs:lnRef idx="0">
      <cs:styleClr val="auto"/>
    </cs:lnRef>
    <cs:fillRef idx="1"/>
    <cs:effectRef idx="0"/>
    <cs:fontRef idx="minor">
      <a:sysClr val="windowText" lastClr="000000"/>
    </cs:fontRef>
    <cs:spPr>
      <a:ln w="9525" cap="rnd">
        <a:solidFill>
          <a:srgbClr val="FFFFFF"/>
        </a:solidFill>
        <a:round/>
      </a:ln>
    </cs:spPr>
  </cs:dataPointWireframe>
  <cs:dataTable>
    <cs:lnRef idx="0"/>
    <cs:fillRef idx="0"/>
    <cs:effectRef idx="0"/>
    <cs:fontRef idx="minor">
      <a:sysClr val="windowText" lastClr="000000">
        <a:lumMod val="65000"/>
        <a:lumOff val="35000"/>
      </a:sysClr>
    </cs:fontRef>
    <cs:spPr>
      <a:noFill/>
      <a:ln w="9525" cap="flat" cmpd="sng" algn="ctr">
        <a:solidFill>
          <a:sysClr val="windowText" lastClr="000000">
            <a:lumMod val="15000"/>
            <a:lumOff val="85000"/>
          </a:sysClr>
        </a:solidFill>
        <a:round/>
      </a:ln>
    </cs:spPr>
    <cs:defRPr sz="900" kern="1200"/>
  </cs:dataTable>
  <cs:downBar>
    <cs:lnRef idx="0"/>
    <cs:fillRef idx="0"/>
    <cs:effectRef idx="0"/>
    <cs:fontRef idx="minor">
      <a:sysClr val="windowText" lastClr="000000"/>
    </cs:fontRef>
    <cs:spPr>
      <a:solidFill>
        <a:sysClr val="windowText" lastClr="000000">
          <a:lumMod val="65000"/>
          <a:lumOff val="35000"/>
        </a:sysClr>
      </a:solidFill>
      <a:ln w="9525">
        <a:solidFill>
          <a:sysClr val="windowText" lastClr="000000">
            <a:lumMod val="65000"/>
            <a:lumOff val="35000"/>
          </a:sysClr>
        </a:solidFill>
      </a:ln>
    </cs:spPr>
  </cs:downBar>
  <cs:dropLine>
    <cs:lnRef idx="0"/>
    <cs:fillRef idx="0"/>
    <cs:effectRef idx="0"/>
    <cs:fontRef idx="minor">
      <a:sysClr val="windowText" lastClr="000000"/>
    </cs:fontRef>
    <cs:spPr>
      <a:ln w="9525" cap="flat" cmpd="sng" algn="ctr">
        <a:solidFill>
          <a:sysClr val="windowText" lastClr="000000">
            <a:lumMod val="35000"/>
            <a:lumOff val="65000"/>
          </a:sysClr>
        </a:solidFill>
        <a:round/>
      </a:ln>
    </cs:spPr>
  </cs:dropLine>
  <cs:errorBar>
    <cs:lnRef idx="0"/>
    <cs:fillRef idx="0"/>
    <cs:effectRef idx="0"/>
    <cs:fontRef idx="minor">
      <a:sysClr val="windowText" lastClr="000000"/>
    </cs:fontRef>
    <cs:spPr>
      <a:ln w="9525" cap="flat" cmpd="sng" algn="ctr">
        <a:solidFill>
          <a:sysClr val="windowText" lastClr="000000">
            <a:lumMod val="65000"/>
            <a:lumOff val="35000"/>
          </a:sysClr>
        </a:solidFill>
        <a:round/>
      </a:ln>
    </cs:spPr>
  </cs:errorBar>
  <cs:floor>
    <cs:lnRef idx="0"/>
    <cs:fillRef idx="0"/>
    <cs:effectRef idx="0"/>
    <cs:fontRef idx="minor">
      <a:sysClr val="windowText" lastClr="000000"/>
    </cs:fontRef>
    <cs:spPr>
      <a:noFill/>
      <a:ln>
        <a:noFill/>
      </a:ln>
    </cs:spPr>
  </cs:floor>
  <cs:gridlineMajor>
    <cs:lnRef idx="0"/>
    <cs:fillRef idx="0"/>
    <cs:effectRef idx="0"/>
    <cs:fontRef idx="minor">
      <a:sysClr val="windowText" lastClr="000000"/>
    </cs:fontRef>
    <cs:spPr>
      <a:ln w="9525" cap="flat" cmpd="sng" algn="ctr">
        <a:solidFill>
          <a:sysClr val="windowText" lastClr="000000">
            <a:lumMod val="15000"/>
            <a:lumOff val="85000"/>
          </a:sysClr>
        </a:solidFill>
        <a:round/>
      </a:ln>
    </cs:spPr>
  </cs:gridlineMajor>
  <cs:gridlineMinor>
    <cs:lnRef idx="0"/>
    <cs:fillRef idx="0"/>
    <cs:effectRef idx="0"/>
    <cs:fontRef idx="minor">
      <a:sysClr val="windowText" lastClr="000000"/>
    </cs:fontRef>
    <cs:spPr>
      <a:ln w="9525" cap="flat" cmpd="sng" algn="ctr">
        <a:solidFill>
          <a:sysClr val="windowText" lastClr="000000">
            <a:lumMod val="5000"/>
            <a:lumOff val="95000"/>
          </a:sysClr>
        </a:solidFill>
        <a:round/>
      </a:ln>
    </cs:spPr>
  </cs:gridlineMinor>
  <cs:hiLoLine>
    <cs:lnRef idx="0"/>
    <cs:fillRef idx="0"/>
    <cs:effectRef idx="0"/>
    <cs:fontRef idx="minor">
      <a:sysClr val="windowText" lastClr="000000"/>
    </cs:fontRef>
    <cs:spPr>
      <a:ln w="9525" cap="flat" cmpd="sng" algn="ctr">
        <a:solidFill>
          <a:sysClr val="windowText" lastClr="000000">
            <a:lumMod val="75000"/>
            <a:lumOff val="25000"/>
          </a:sysClr>
        </a:solidFill>
        <a:round/>
      </a:ln>
    </cs:spPr>
  </cs:hiLoLine>
  <cs:leaderLine>
    <cs:lnRef idx="0"/>
    <cs:fillRef idx="0"/>
    <cs:effectRef idx="0"/>
    <cs:fontRef idx="minor">
      <a:sysClr val="windowText" lastClr="000000"/>
    </cs:fontRef>
    <cs:spPr>
      <a:ln w="9525" cap="flat" cmpd="sng" algn="ctr">
        <a:solidFill>
          <a:sysClr val="windowText" lastClr="000000">
            <a:lumMod val="35000"/>
            <a:lumOff val="65000"/>
          </a:sysClr>
        </a:solidFill>
        <a:round/>
      </a:ln>
    </cs:spPr>
  </cs:leaderLine>
  <cs:legend>
    <cs:lnRef idx="0"/>
    <cs:fillRef idx="0"/>
    <cs:effectRef idx="0"/>
    <cs:fontRef idx="minor">
      <a:sysClr val="windowText" lastClr="000000">
        <a:lumMod val="65000"/>
        <a:lumOff val="35000"/>
      </a:sysClr>
    </cs:fontRef>
    <cs:defRPr sz="900" kern="1200"/>
  </cs:legend>
  <cs:plotArea mods="allowNoFillOverride allowNoLineOverride">
    <cs:lnRef idx="0"/>
    <cs:fillRef idx="0"/>
    <cs:effectRef idx="0"/>
    <cs:fontRef idx="minor">
      <a:sysClr val="windowText" lastClr="000000"/>
    </cs:fontRef>
  </cs:plotArea>
  <cs:plotArea3D mods="allowNoFillOverride allowNoLineOverride">
    <cs:lnRef idx="0"/>
    <cs:fillRef idx="0"/>
    <cs:effectRef idx="0"/>
    <cs:fontRef idx="minor">
      <a:sysClr val="windowText" lastClr="000000"/>
    </cs:fontRef>
  </cs:plotArea3D>
  <cs:seriesAxis>
    <cs:lnRef idx="0"/>
    <cs:fillRef idx="0"/>
    <cs:effectRef idx="0"/>
    <cs:fontRef idx="minor">
      <a:sysClr val="windowText" lastClr="000000">
        <a:lumMod val="65000"/>
        <a:lumOff val="35000"/>
      </a:sysClr>
    </cs:fontRef>
    <cs:defRPr sz="900" kern="1200"/>
  </cs:seriesAxis>
  <cs:seriesLine>
    <cs:lnRef idx="0"/>
    <cs:fillRef idx="0"/>
    <cs:effectRef idx="0"/>
    <cs:fontRef idx="minor">
      <a:sysClr val="windowText" lastClr="000000"/>
    </cs:fontRef>
    <cs:spPr>
      <a:ln w="9525" cap="flat" cmpd="sng" algn="ctr">
        <a:solidFill>
          <a:sysClr val="windowText" lastClr="000000">
            <a:lumMod val="35000"/>
            <a:lumOff val="65000"/>
          </a:sysClr>
        </a:solidFill>
        <a:round/>
      </a:ln>
    </cs:spPr>
  </cs:seriesLine>
  <cs:title>
    <cs:lnRef idx="0"/>
    <cs:fillRef idx="0"/>
    <cs:effectRef idx="0"/>
    <cs:fontRef idx="minor">
      <a:sysClr val="windowText" lastClr="000000">
        <a:lumMod val="65000"/>
        <a:lumOff val="35000"/>
      </a:sysClr>
    </cs:fontRef>
    <cs:defRPr sz="1400" b="0" kern="1200" spc="0" baseline="0"/>
  </cs:title>
  <cs:trendline>
    <cs:lnRef idx="0">
      <cs:styleClr val="auto"/>
    </cs:lnRef>
    <cs:fillRef idx="0"/>
    <cs:effectRef idx="0"/>
    <cs:fontRef idx="minor">
      <a:sysClr val="windowText" lastClr="000000"/>
    </cs:fontRef>
    <cs:spPr>
      <a:ln w="19050" cap="rnd">
        <a:solidFill>
          <a:srgbClr val="FFFFFF"/>
        </a:solidFill>
        <a:prstDash val="sysDot"/>
      </a:ln>
    </cs:spPr>
  </cs:trendline>
  <cs:trendlineLabel>
    <cs:lnRef idx="0"/>
    <cs:fillRef idx="0"/>
    <cs:effectRef idx="0"/>
    <cs:fontRef idx="minor">
      <a:sysClr val="windowText" lastClr="000000">
        <a:lumMod val="65000"/>
        <a:lumOff val="35000"/>
      </a:sysClr>
    </cs:fontRef>
    <cs:defRPr sz="900" kern="1200"/>
  </cs:trendlineLabel>
  <cs:upBar>
    <cs:lnRef idx="0"/>
    <cs:fillRef idx="0"/>
    <cs:effectRef idx="0"/>
    <cs:fontRef idx="minor">
      <a:sysClr val="windowText" lastClr="000000"/>
    </cs:fontRef>
    <cs:spPr>
      <a:solidFill>
        <a:sysClr val="window" lastClr="FFFFFF"/>
      </a:solidFill>
      <a:ln w="9525">
        <a:solidFill>
          <a:sysClr val="windowText" lastClr="000000">
            <a:lumMod val="15000"/>
            <a:lumOff val="85000"/>
          </a:sysClr>
        </a:solidFill>
      </a:ln>
    </cs:spPr>
  </cs:upBar>
  <cs:valueAxis>
    <cs:lnRef idx="0"/>
    <cs:fillRef idx="0"/>
    <cs:effectRef idx="0"/>
    <cs:fontRef idx="minor">
      <a:sysClr val="windowText" lastClr="000000">
        <a:lumMod val="65000"/>
        <a:lumOff val="35000"/>
      </a:sysClr>
    </cs:fontRef>
    <cs:defRPr sz="900" kern="1200"/>
  </cs:valueAxis>
  <cs:wall>
    <cs:lnRef idx="0"/>
    <cs:fillRef idx="0"/>
    <cs:effectRef idx="0"/>
    <cs:fontRef idx="minor">
      <a:sysClr val="windowText" lastClr="000000"/>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ysClr val="windowText" lastClr="000000">
        <a:lumMod val="65000"/>
        <a:lumOff val="35000"/>
      </a:sysClr>
    </cs:fontRef>
    <cs:defRPr sz="1000" kern="1200"/>
  </cs:axisTitle>
  <cs:categoryAxis>
    <cs:lnRef idx="0"/>
    <cs:fillRef idx="0"/>
    <cs:effectRef idx="0"/>
    <cs:fontRef idx="minor">
      <a:sysClr val="windowText" lastClr="000000">
        <a:lumMod val="65000"/>
        <a:lumOff val="35000"/>
      </a:sysClr>
    </cs:fontRef>
    <cs:spPr>
      <a:ln w="9525" cap="flat" cmpd="sng" algn="ctr">
        <a:solidFill>
          <a:sysClr val="windowText" lastClr="000000">
            <a:lumMod val="15000"/>
            <a:lumOff val="85000"/>
          </a:sysClr>
        </a:solidFill>
        <a:round/>
      </a:ln>
    </cs:spPr>
    <cs:defRPr sz="900" kern="1200"/>
  </cs:categoryAxis>
  <cs:chartArea mods="allowNoFillOverride allowNoLineOverride">
    <cs:lnRef idx="0"/>
    <cs:fillRef idx="0"/>
    <cs:effectRef idx="0"/>
    <cs:fontRef idx="minor">
      <a:sysClr val="windowText" lastClr="000000"/>
    </cs:fontRef>
    <cs:spPr>
      <a:solidFill>
        <a:sysClr val="window" lastClr="FFFFFF"/>
      </a:solidFill>
      <a:ln w="9525" cap="flat" cmpd="sng" algn="ctr">
        <a:solidFill>
          <a:sysClr val="windowText" lastClr="000000">
            <a:lumMod val="15000"/>
            <a:lumOff val="85000"/>
          </a:sysClr>
        </a:solidFill>
        <a:round/>
      </a:ln>
    </cs:spPr>
    <cs:defRPr sz="900" kern="1200"/>
  </cs:chartArea>
  <cs:dataLabel>
    <cs:lnRef idx="0"/>
    <cs:fillRef idx="0"/>
    <cs:effectRef idx="0"/>
    <cs:fontRef idx="minor">
      <a:sysClr val="windowText" lastClr="000000">
        <a:lumMod val="75000"/>
        <a:lumOff val="25000"/>
      </a:sysClr>
    </cs:fontRef>
    <cs:defRPr sz="900" kern="1200"/>
  </cs:dataLabel>
  <cs:dataLabelCallout>
    <cs:lnRef idx="0"/>
    <cs:fillRef idx="0"/>
    <cs:effectRef idx="0"/>
    <cs:fontRef idx="minor">
      <a:sysClr val="windowText" lastClr="000000">
        <a:lumMod val="65000"/>
        <a:lumOff val="35000"/>
      </a:sysClr>
    </cs:fontRef>
    <cs:spPr>
      <a:solidFill>
        <a:sysClr val="window" lastClr="FFFFFF"/>
      </a:solidFill>
      <a:ln>
        <a:solidFill>
          <a:sysClr val="windowText" lastClr="000000">
            <a:lumMod val="25000"/>
            <a:lumOff val="75000"/>
          </a:sysClr>
        </a:solidFill>
      </a:ln>
    </cs:spPr>
    <cs:defRPr sz="900" kern="1200"/>
    <cs:bodyPr rot="0" spcFirstLastPara="1" vertOverflow="clip" horzOverflow="clip" vert="horz" wrap="square" lIns="36576" tIns="18288" rIns="36576" bIns="18288" anchor="ctr" anchorCtr="true">
      <a:spAutoFit/>
    </cs:bodyPr>
  </cs:dataLabelCallout>
  <cs:dataPoint>
    <cs:lnRef idx="0"/>
    <cs:fillRef idx="1">
      <cs:styleClr val="auto"/>
    </cs:fillRef>
    <cs:effectRef idx="0"/>
    <cs:fontRef idx="minor">
      <a:sysClr val="windowText" lastClr="000000"/>
    </cs:fontRef>
    <cs:spPr>
      <a:ln w="19050">
        <a:solidFill>
          <a:sysClr val="window" lastClr="FFFFFF"/>
        </a:solidFill>
      </a:ln>
    </cs:spPr>
  </cs:dataPoint>
  <cs:dataPoint3D>
    <cs:lnRef idx="0"/>
    <cs:fillRef idx="1">
      <cs:styleClr val="auto"/>
    </cs:fillRef>
    <cs:effectRef idx="0"/>
    <cs:fontRef idx="minor">
      <a:sysClr val="windowText" lastClr="000000"/>
    </cs:fontRef>
    <cs:spPr>
      <a:ln w="25400">
        <a:solidFill>
          <a:sysClr val="window" lastClr="FFFFFF"/>
        </a:solidFill>
      </a:ln>
    </cs:spPr>
  </cs:dataPoint3D>
  <cs:dataPointLine>
    <cs:lnRef idx="0">
      <cs:styleClr val="auto"/>
    </cs:lnRef>
    <cs:fillRef idx="0"/>
    <cs:effectRef idx="0"/>
    <cs:fontRef idx="minor">
      <a:sysClr val="windowText" lastClr="000000"/>
    </cs:fontRef>
    <cs:spPr>
      <a:ln w="28575" cap="rnd">
        <a:solidFill>
          <a:srgbClr val="FFFFFF"/>
        </a:solidFill>
        <a:round/>
      </a:ln>
    </cs:spPr>
  </cs:dataPointLine>
  <cs:dataPointMarker>
    <cs:lnRef idx="0">
      <cs:styleClr val="auto"/>
    </cs:lnRef>
    <cs:fillRef idx="1">
      <cs:styleClr val="auto"/>
    </cs:fillRef>
    <cs:effectRef idx="0"/>
    <cs:fontRef idx="minor">
      <a:sysClr val="windowText" lastClr="000000"/>
    </cs:fontRef>
    <cs:spPr>
      <a:ln w="9525">
        <a:solidFill>
          <a:srgbClr val="FFFFFF"/>
        </a:solidFill>
      </a:ln>
    </cs:spPr>
  </cs:dataPointMarker>
  <cs:dataPointMarkerLayout symbol="circle" size="5"/>
  <cs:dataPointWireframe>
    <cs:lnRef idx="0">
      <cs:styleClr val="auto"/>
    </cs:lnRef>
    <cs:fillRef idx="0"/>
    <cs:effectRef idx="0"/>
    <cs:fontRef idx="minor">
      <a:sysClr val="windowText" lastClr="000000"/>
    </cs:fontRef>
    <cs:spPr>
      <a:ln w="9525" cap="rnd">
        <a:solidFill>
          <a:srgbClr val="FFFFFF"/>
        </a:solidFill>
        <a:round/>
      </a:ln>
    </cs:spPr>
  </cs:dataPointWireframe>
  <cs:dataTable>
    <cs:lnRef idx="0"/>
    <cs:fillRef idx="0"/>
    <cs:effectRef idx="0"/>
    <cs:fontRef idx="minor">
      <a:sysClr val="windowText" lastClr="000000">
        <a:lumMod val="65000"/>
        <a:lumOff val="35000"/>
      </a:sysClr>
    </cs:fontRef>
    <cs:spPr>
      <a:noFill/>
      <a:ln w="9525" cap="flat" cmpd="sng" algn="ctr">
        <a:solidFill>
          <a:sysClr val="windowText" lastClr="000000">
            <a:lumMod val="15000"/>
            <a:lumOff val="85000"/>
          </a:sysClr>
        </a:solidFill>
        <a:round/>
      </a:ln>
    </cs:spPr>
    <cs:defRPr sz="900" kern="1200"/>
  </cs:dataTable>
  <cs:downBar>
    <cs:lnRef idx="0"/>
    <cs:fillRef idx="0"/>
    <cs:effectRef idx="0"/>
    <cs:fontRef idx="minor">
      <a:sysClr val="windowText" lastClr="000000"/>
    </cs:fontRef>
    <cs:spPr>
      <a:solidFill>
        <a:sysClr val="windowText" lastClr="000000">
          <a:lumMod val="75000"/>
          <a:lumOff val="25000"/>
        </a:sysClr>
      </a:solidFill>
      <a:ln w="9525" cap="flat" cmpd="sng" algn="ctr">
        <a:solidFill>
          <a:sysClr val="windowText" lastClr="000000">
            <a:lumMod val="65000"/>
            <a:lumOff val="35000"/>
          </a:sysClr>
        </a:solidFill>
        <a:round/>
      </a:ln>
    </cs:spPr>
  </cs:downBar>
  <cs:dropLine>
    <cs:lnRef idx="0"/>
    <cs:fillRef idx="0"/>
    <cs:effectRef idx="0"/>
    <cs:fontRef idx="minor">
      <a:sysClr val="windowText" lastClr="000000"/>
    </cs:fontRef>
    <cs:spPr>
      <a:ln w="9525" cap="flat" cmpd="sng" algn="ctr">
        <a:solidFill>
          <a:sysClr val="windowText" lastClr="000000">
            <a:lumMod val="35000"/>
            <a:lumOff val="65000"/>
          </a:sysClr>
        </a:solidFill>
        <a:round/>
      </a:ln>
    </cs:spPr>
  </cs:dropLine>
  <cs:errorBar>
    <cs:lnRef idx="0"/>
    <cs:fillRef idx="0"/>
    <cs:effectRef idx="0"/>
    <cs:fontRef idx="minor">
      <a:sysClr val="windowText" lastClr="000000"/>
    </cs:fontRef>
    <cs:spPr>
      <a:ln w="9525" cap="flat" cmpd="sng" algn="ctr">
        <a:solidFill>
          <a:sysClr val="windowText" lastClr="000000">
            <a:lumMod val="65000"/>
            <a:lumOff val="35000"/>
          </a:sysClr>
        </a:solidFill>
        <a:round/>
      </a:ln>
    </cs:spPr>
  </cs:errorBar>
  <cs:floor>
    <cs:lnRef idx="0"/>
    <cs:fillRef idx="0"/>
    <cs:effectRef idx="0"/>
    <cs:fontRef idx="minor">
      <a:sysClr val="windowText" lastClr="000000"/>
    </cs:fontRef>
    <cs:spPr>
      <a:noFill/>
      <a:ln>
        <a:noFill/>
      </a:ln>
    </cs:spPr>
  </cs:floor>
  <cs:gridlineMajor>
    <cs:lnRef idx="0"/>
    <cs:fillRef idx="0"/>
    <cs:effectRef idx="0"/>
    <cs:fontRef idx="minor">
      <a:sysClr val="windowText" lastClr="000000"/>
    </cs:fontRef>
    <cs:spPr>
      <a:ln w="9525" cap="flat" cmpd="sng" algn="ctr">
        <a:solidFill>
          <a:sysClr val="windowText" lastClr="000000">
            <a:lumMod val="15000"/>
            <a:lumOff val="85000"/>
          </a:sysClr>
        </a:solidFill>
        <a:round/>
      </a:ln>
    </cs:spPr>
  </cs:gridlineMajor>
  <cs:gridlineMinor>
    <cs:lnRef idx="0"/>
    <cs:fillRef idx="0"/>
    <cs:effectRef idx="0"/>
    <cs:fontRef idx="minor">
      <a:sysClr val="windowText" lastClr="000000"/>
    </cs:fontRef>
    <cs:spPr>
      <a:ln w="9525" cap="flat" cmpd="sng" algn="ctr">
        <a:solidFill>
          <a:sysClr val="windowText" lastClr="000000">
            <a:lumMod val="5000"/>
            <a:lumOff val="95000"/>
          </a:sysClr>
        </a:solidFill>
        <a:round/>
      </a:ln>
    </cs:spPr>
  </cs:gridlineMinor>
  <cs:hiLoLine>
    <cs:lnRef idx="0"/>
    <cs:fillRef idx="0"/>
    <cs:effectRef idx="0"/>
    <cs:fontRef idx="minor">
      <a:sysClr val="windowText" lastClr="000000"/>
    </cs:fontRef>
    <cs:spPr>
      <a:ln w="9525" cap="flat" cmpd="sng" algn="ctr">
        <a:solidFill>
          <a:sysClr val="windowText" lastClr="000000">
            <a:lumMod val="50000"/>
            <a:lumOff val="50000"/>
          </a:sysClr>
        </a:solidFill>
        <a:round/>
      </a:ln>
    </cs:spPr>
  </cs:hiLoLine>
  <cs:leaderLine>
    <cs:lnRef idx="0"/>
    <cs:fillRef idx="0"/>
    <cs:effectRef idx="0"/>
    <cs:fontRef idx="minor">
      <a:sysClr val="windowText" lastClr="000000"/>
    </cs:fontRef>
    <cs:spPr>
      <a:ln w="9525" cap="flat" cmpd="sng" algn="ctr">
        <a:solidFill>
          <a:sysClr val="windowText" lastClr="000000">
            <a:lumMod val="35000"/>
            <a:lumOff val="65000"/>
          </a:sysClr>
        </a:solidFill>
        <a:round/>
      </a:ln>
    </cs:spPr>
  </cs:leaderLine>
  <cs:legend>
    <cs:lnRef idx="0"/>
    <cs:fillRef idx="0"/>
    <cs:effectRef idx="0"/>
    <cs:fontRef idx="minor">
      <a:sysClr val="windowText" lastClr="000000">
        <a:lumMod val="65000"/>
        <a:lumOff val="35000"/>
      </a:sysClr>
    </cs:fontRef>
    <cs:defRPr sz="900" kern="1200"/>
  </cs:legend>
  <cs:plotArea mods="allowNoFillOverride allowNoLineOverride">
    <cs:lnRef idx="0"/>
    <cs:fillRef idx="0"/>
    <cs:effectRef idx="0"/>
    <cs:fontRef idx="minor">
      <a:sysClr val="windowText" lastClr="000000"/>
    </cs:fontRef>
  </cs:plotArea>
  <cs:plotArea3D mods="allowNoFillOverride allowNoLineOverride">
    <cs:lnRef idx="0"/>
    <cs:fillRef idx="0"/>
    <cs:effectRef idx="0"/>
    <cs:fontRef idx="minor">
      <a:sysClr val="windowText" lastClr="000000"/>
    </cs:fontRef>
  </cs:plotArea3D>
  <cs:seriesAxis>
    <cs:lnRef idx="0"/>
    <cs:fillRef idx="0"/>
    <cs:effectRef idx="0"/>
    <cs:fontRef idx="minor">
      <a:sysClr val="windowText" lastClr="000000">
        <a:lumMod val="65000"/>
        <a:lumOff val="35000"/>
      </a:sysClr>
    </cs:fontRef>
    <cs:defRPr sz="900" kern="1200"/>
  </cs:seriesAxis>
  <cs:seriesLine>
    <cs:lnRef idx="0"/>
    <cs:fillRef idx="0"/>
    <cs:effectRef idx="0"/>
    <cs:fontRef idx="minor">
      <a:sysClr val="windowText" lastClr="000000"/>
    </cs:fontRef>
    <cs:spPr>
      <a:ln w="9525" cap="flat" cmpd="sng" algn="ctr">
        <a:solidFill>
          <a:sysClr val="windowText" lastClr="000000">
            <a:lumMod val="35000"/>
            <a:lumOff val="65000"/>
          </a:sysClr>
        </a:solidFill>
        <a:round/>
      </a:ln>
    </cs:spPr>
  </cs:seriesLine>
  <cs:title>
    <cs:lnRef idx="0"/>
    <cs:fillRef idx="0"/>
    <cs:effectRef idx="0"/>
    <cs:fontRef idx="minor">
      <a:sysClr val="windowText" lastClr="000000">
        <a:lumMod val="65000"/>
        <a:lumOff val="35000"/>
      </a:sysClr>
    </cs:fontRef>
    <cs:defRPr sz="1400" b="0" kern="1200" spc="0" baseline="0"/>
  </cs:title>
  <cs:trendline>
    <cs:lnRef idx="0">
      <cs:styleClr val="auto"/>
    </cs:lnRef>
    <cs:fillRef idx="0"/>
    <cs:effectRef idx="0"/>
    <cs:fontRef idx="minor">
      <a:sysClr val="windowText" lastClr="000000"/>
    </cs:fontRef>
    <cs:spPr>
      <a:ln w="19050" cap="rnd">
        <a:solidFill>
          <a:srgbClr val="FFFFFF"/>
        </a:solidFill>
        <a:prstDash val="sysDot"/>
      </a:ln>
    </cs:spPr>
  </cs:trendline>
  <cs:trendlineLabel>
    <cs:lnRef idx="0"/>
    <cs:fillRef idx="0"/>
    <cs:effectRef idx="0"/>
    <cs:fontRef idx="minor">
      <a:sysClr val="windowText" lastClr="000000">
        <a:lumMod val="65000"/>
        <a:lumOff val="35000"/>
      </a:sysClr>
    </cs:fontRef>
    <cs:defRPr sz="900" kern="1200"/>
  </cs:trendlineLabel>
  <cs:upBar>
    <cs:lnRef idx="0"/>
    <cs:fillRef idx="0"/>
    <cs:effectRef idx="0"/>
    <cs:fontRef idx="minor">
      <a:sysClr val="windowText" lastClr="000000"/>
    </cs:fontRef>
    <cs:spPr>
      <a:solidFill>
        <a:sysClr val="window" lastClr="FFFFFF"/>
      </a:solidFill>
      <a:ln w="9525" cap="flat" cmpd="sng" algn="ctr">
        <a:solidFill>
          <a:sysClr val="windowText" lastClr="000000">
            <a:lumMod val="65000"/>
            <a:lumOff val="35000"/>
          </a:sysClr>
        </a:solidFill>
        <a:round/>
      </a:ln>
    </cs:spPr>
  </cs:upBar>
  <cs:valueAxis>
    <cs:lnRef idx="0"/>
    <cs:fillRef idx="0"/>
    <cs:effectRef idx="0"/>
    <cs:fontRef idx="minor">
      <a:sysClr val="windowText" lastClr="000000">
        <a:lumMod val="65000"/>
        <a:lumOff val="35000"/>
      </a:sysClr>
    </cs:fontRef>
    <cs:defRPr sz="900" kern="1200"/>
  </cs:valueAxis>
  <cs:wall>
    <cs:lnRef idx="0"/>
    <cs:fillRef idx="0"/>
    <cs:effectRef idx="0"/>
    <cs:fontRef idx="minor">
      <a:sysClr val="windowText" lastClr="000000"/>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rgbClr val="FFFFFF"/>
      </a:solidFill>
      <a:gradFill rotWithShape="true">
        <a:gsLst>
          <a:gs pos="0">
            <a:srgbClr val="FFFFFF">
              <a:lumMod val="110000"/>
              <a:satMod val="105000"/>
              <a:tint val="67000"/>
            </a:srgbClr>
          </a:gs>
          <a:gs pos="50000">
            <a:srgbClr val="FFFFFF">
              <a:lumMod val="105000"/>
              <a:satMod val="103000"/>
              <a:tint val="73000"/>
            </a:srgbClr>
          </a:gs>
          <a:gs pos="100000">
            <a:srgbClr val="FFFFFF">
              <a:lumMod val="105000"/>
              <a:satMod val="109000"/>
              <a:tint val="81000"/>
            </a:srgbClr>
          </a:gs>
        </a:gsLst>
        <a:lin ang="5400000" scaled="false"/>
      </a:gradFill>
      <a:gradFill rotWithShape="true">
        <a:gsLst>
          <a:gs pos="0">
            <a:srgbClr val="FFFFFF">
              <a:satMod val="103000"/>
              <a:lumMod val="102000"/>
              <a:tint val="94000"/>
            </a:srgbClr>
          </a:gs>
          <a:gs pos="50000">
            <a:srgbClr val="FFFFFF">
              <a:satMod val="110000"/>
              <a:lumMod val="100000"/>
              <a:shade val="100000"/>
            </a:srgbClr>
          </a:gs>
          <a:gs pos="100000">
            <a:srgbClr val="E2E2E2">
              <a:lumMod val="99000"/>
              <a:satMod val="120000"/>
              <a:shade val="78000"/>
            </a:srgbClr>
          </a:gs>
        </a:gsLst>
        <a:lin ang="5400000" scaled="false"/>
      </a:gradFill>
    </a:fillStyleLst>
    <a:lnStyleLst>
      <a:ln w="6350" cap="flat" cmpd="sng" algn="ctr">
        <a:solidFill>
          <a:srgbClr val="FFFFFF"/>
        </a:solidFill>
        <a:prstDash val="solid"/>
        <a:miter lim="800000"/>
      </a:ln>
      <a:ln w="12700" cap="flat" cmpd="sng" algn="ctr">
        <a:solidFill>
          <a:srgbClr val="FFFFFF"/>
        </a:solidFill>
        <a:prstDash val="solid"/>
        <a:miter lim="800000"/>
      </a:ln>
      <a:ln w="19050" cap="flat" cmpd="sng" algn="ctr">
        <a:solidFill>
          <a:srgbClr val="FFFFFF"/>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rgbClr val="FFFFFF"/>
      </a:solidFill>
      <a:solidFill>
        <a:srgbClr val="FFFFFF">
          <a:tint val="95000"/>
          <a:satMod val="170000"/>
        </a:srgbClr>
      </a:solidFill>
      <a:gradFill rotWithShape="true">
        <a:gsLst>
          <a:gs pos="0">
            <a:srgbClr val="FFFFFF">
              <a:tint val="93000"/>
              <a:satMod val="150000"/>
              <a:shade val="98000"/>
              <a:lumMod val="102000"/>
            </a:srgbClr>
          </a:gs>
          <a:gs pos="50000">
            <a:srgbClr val="FBFBFB">
              <a:tint val="98000"/>
              <a:satMod val="130000"/>
              <a:shade val="90000"/>
              <a:lumMod val="103000"/>
            </a:srgbClr>
          </a:gs>
          <a:gs pos="100000">
            <a:srgbClr val="D0D0D0">
              <a:shade val="63000"/>
              <a:satMod val="120000"/>
            </a:srgbClr>
          </a:gs>
        </a:gsLst>
        <a:lin ang="5400000" scaled="false"/>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rgbClr val="FFFFFF"/>
      </a:solidFill>
      <a:gradFill rotWithShape="true">
        <a:gsLst>
          <a:gs pos="0">
            <a:srgbClr val="FFFFFF">
              <a:lumMod val="110000"/>
              <a:satMod val="105000"/>
              <a:tint val="67000"/>
            </a:srgbClr>
          </a:gs>
          <a:gs pos="50000">
            <a:srgbClr val="FFFFFF">
              <a:lumMod val="105000"/>
              <a:satMod val="103000"/>
              <a:tint val="73000"/>
            </a:srgbClr>
          </a:gs>
          <a:gs pos="100000">
            <a:srgbClr val="FFFFFF">
              <a:lumMod val="105000"/>
              <a:satMod val="109000"/>
              <a:tint val="81000"/>
            </a:srgbClr>
          </a:gs>
        </a:gsLst>
        <a:lin ang="5400000" scaled="false"/>
      </a:gradFill>
      <a:gradFill rotWithShape="true">
        <a:gsLst>
          <a:gs pos="0">
            <a:srgbClr val="FFFFFF">
              <a:satMod val="103000"/>
              <a:lumMod val="102000"/>
              <a:tint val="94000"/>
            </a:srgbClr>
          </a:gs>
          <a:gs pos="50000">
            <a:srgbClr val="FFFFFF">
              <a:satMod val="110000"/>
              <a:lumMod val="100000"/>
              <a:shade val="100000"/>
            </a:srgbClr>
          </a:gs>
          <a:gs pos="100000">
            <a:srgbClr val="E2E2E2">
              <a:lumMod val="99000"/>
              <a:satMod val="120000"/>
              <a:shade val="78000"/>
            </a:srgbClr>
          </a:gs>
        </a:gsLst>
        <a:lin ang="5400000" scaled="false"/>
      </a:gradFill>
    </a:fillStyleLst>
    <a:lnStyleLst>
      <a:ln w="6350" cap="flat" cmpd="sng" algn="ctr">
        <a:solidFill>
          <a:srgbClr val="FFFFFF"/>
        </a:solidFill>
        <a:prstDash val="solid"/>
        <a:miter lim="800000"/>
      </a:ln>
      <a:ln w="12700" cap="flat" cmpd="sng" algn="ctr">
        <a:solidFill>
          <a:srgbClr val="FFFFFF"/>
        </a:solidFill>
        <a:prstDash val="solid"/>
        <a:miter lim="800000"/>
      </a:ln>
      <a:ln w="19050" cap="flat" cmpd="sng" algn="ctr">
        <a:solidFill>
          <a:srgbClr val="FFFFFF"/>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rgbClr val="FFFFFF"/>
      </a:solidFill>
      <a:solidFill>
        <a:srgbClr val="FFFFFF">
          <a:tint val="95000"/>
          <a:satMod val="170000"/>
        </a:srgbClr>
      </a:solidFill>
      <a:gradFill rotWithShape="true">
        <a:gsLst>
          <a:gs pos="0">
            <a:srgbClr val="FFFFFF">
              <a:tint val="93000"/>
              <a:satMod val="150000"/>
              <a:shade val="98000"/>
              <a:lumMod val="102000"/>
            </a:srgbClr>
          </a:gs>
          <a:gs pos="50000">
            <a:srgbClr val="FBFBFB">
              <a:tint val="98000"/>
              <a:satMod val="130000"/>
              <a:shade val="90000"/>
              <a:lumMod val="103000"/>
            </a:srgbClr>
          </a:gs>
          <a:gs pos="100000">
            <a:srgbClr val="D0D0D0">
              <a:shade val="63000"/>
              <a:satMod val="120000"/>
            </a:srgbClr>
          </a:gs>
        </a:gsLst>
        <a:lin ang="5400000" scaled="false"/>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rgbClr val="FFFFFF"/>
      </a:solidFill>
      <a:gradFill rotWithShape="true">
        <a:gsLst>
          <a:gs pos="0">
            <a:srgbClr val="FFFFFF">
              <a:lumMod val="110000"/>
              <a:satMod val="105000"/>
              <a:tint val="67000"/>
            </a:srgbClr>
          </a:gs>
          <a:gs pos="50000">
            <a:srgbClr val="FFFFFF">
              <a:lumMod val="105000"/>
              <a:satMod val="103000"/>
              <a:tint val="73000"/>
            </a:srgbClr>
          </a:gs>
          <a:gs pos="100000">
            <a:srgbClr val="FFFFFF">
              <a:lumMod val="105000"/>
              <a:satMod val="109000"/>
              <a:tint val="81000"/>
            </a:srgbClr>
          </a:gs>
        </a:gsLst>
        <a:lin ang="5400000" scaled="false"/>
      </a:gradFill>
      <a:gradFill rotWithShape="true">
        <a:gsLst>
          <a:gs pos="0">
            <a:srgbClr val="FFFFFF">
              <a:satMod val="103000"/>
              <a:lumMod val="102000"/>
              <a:tint val="94000"/>
            </a:srgbClr>
          </a:gs>
          <a:gs pos="50000">
            <a:srgbClr val="FFFFFF">
              <a:satMod val="110000"/>
              <a:lumMod val="100000"/>
              <a:shade val="100000"/>
            </a:srgbClr>
          </a:gs>
          <a:gs pos="100000">
            <a:srgbClr val="E2E2E2">
              <a:lumMod val="99000"/>
              <a:satMod val="120000"/>
              <a:shade val="78000"/>
            </a:srgbClr>
          </a:gs>
        </a:gsLst>
        <a:lin ang="5400000" scaled="false"/>
      </a:gradFill>
    </a:fillStyleLst>
    <a:lnStyleLst>
      <a:ln w="6350" cap="flat" cmpd="sng" algn="ctr">
        <a:solidFill>
          <a:srgbClr val="FFFFFF"/>
        </a:solidFill>
        <a:prstDash val="solid"/>
        <a:miter lim="800000"/>
      </a:ln>
      <a:ln w="12700" cap="flat" cmpd="sng" algn="ctr">
        <a:solidFill>
          <a:srgbClr val="FFFFFF"/>
        </a:solidFill>
        <a:prstDash val="solid"/>
        <a:miter lim="800000"/>
      </a:ln>
      <a:ln w="19050" cap="flat" cmpd="sng" algn="ctr">
        <a:solidFill>
          <a:srgbClr val="FFFFFF"/>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rgbClr val="FFFFFF"/>
      </a:solidFill>
      <a:solidFill>
        <a:srgbClr val="FFFFFF">
          <a:tint val="95000"/>
          <a:satMod val="170000"/>
        </a:srgbClr>
      </a:solidFill>
      <a:gradFill rotWithShape="true">
        <a:gsLst>
          <a:gs pos="0">
            <a:srgbClr val="FFFFFF">
              <a:tint val="93000"/>
              <a:satMod val="150000"/>
              <a:shade val="98000"/>
              <a:lumMod val="102000"/>
            </a:srgbClr>
          </a:gs>
          <a:gs pos="50000">
            <a:srgbClr val="FBFBFB">
              <a:tint val="98000"/>
              <a:satMod val="130000"/>
              <a:shade val="90000"/>
              <a:lumMod val="103000"/>
            </a:srgbClr>
          </a:gs>
          <a:gs pos="100000">
            <a:srgbClr val="D0D0D0">
              <a:shade val="63000"/>
              <a:satMod val="120000"/>
            </a:srgbClr>
          </a:gs>
        </a:gsLst>
        <a:lin ang="5400000" scaled="false"/>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rgbClr val="FFFFFF"/>
      </a:solidFill>
      <a:gradFill rotWithShape="true">
        <a:gsLst>
          <a:gs pos="0">
            <a:srgbClr val="FFFFFF">
              <a:lumMod val="110000"/>
              <a:satMod val="105000"/>
              <a:tint val="67000"/>
            </a:srgbClr>
          </a:gs>
          <a:gs pos="50000">
            <a:srgbClr val="FFFFFF">
              <a:lumMod val="105000"/>
              <a:satMod val="103000"/>
              <a:tint val="73000"/>
            </a:srgbClr>
          </a:gs>
          <a:gs pos="100000">
            <a:srgbClr val="FFFFFF">
              <a:lumMod val="105000"/>
              <a:satMod val="109000"/>
              <a:tint val="81000"/>
            </a:srgbClr>
          </a:gs>
        </a:gsLst>
        <a:lin ang="5400000" scaled="false"/>
      </a:gradFill>
      <a:gradFill rotWithShape="true">
        <a:gsLst>
          <a:gs pos="0">
            <a:srgbClr val="FFFFFF">
              <a:satMod val="103000"/>
              <a:lumMod val="102000"/>
              <a:tint val="94000"/>
            </a:srgbClr>
          </a:gs>
          <a:gs pos="50000">
            <a:srgbClr val="FFFFFF">
              <a:satMod val="110000"/>
              <a:lumMod val="100000"/>
              <a:shade val="100000"/>
            </a:srgbClr>
          </a:gs>
          <a:gs pos="100000">
            <a:srgbClr val="E2E2E2">
              <a:lumMod val="99000"/>
              <a:satMod val="120000"/>
              <a:shade val="78000"/>
            </a:srgbClr>
          </a:gs>
        </a:gsLst>
        <a:lin ang="5400000" scaled="false"/>
      </a:gradFill>
    </a:fillStyleLst>
    <a:lnStyleLst>
      <a:ln w="6350" cap="flat" cmpd="sng" algn="ctr">
        <a:solidFill>
          <a:srgbClr val="FFFFFF"/>
        </a:solidFill>
        <a:prstDash val="solid"/>
        <a:miter lim="800000"/>
      </a:ln>
      <a:ln w="12700" cap="flat" cmpd="sng" algn="ctr">
        <a:solidFill>
          <a:srgbClr val="FFFFFF"/>
        </a:solidFill>
        <a:prstDash val="solid"/>
        <a:miter lim="800000"/>
      </a:ln>
      <a:ln w="19050" cap="flat" cmpd="sng" algn="ctr">
        <a:solidFill>
          <a:srgbClr val="FFFFFF"/>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rgbClr val="FFFFFF"/>
      </a:solidFill>
      <a:solidFill>
        <a:srgbClr val="FFFFFF">
          <a:tint val="95000"/>
          <a:satMod val="170000"/>
        </a:srgbClr>
      </a:solidFill>
      <a:gradFill rotWithShape="true">
        <a:gsLst>
          <a:gs pos="0">
            <a:srgbClr val="FFFFFF">
              <a:tint val="93000"/>
              <a:satMod val="150000"/>
              <a:shade val="98000"/>
              <a:lumMod val="102000"/>
            </a:srgbClr>
          </a:gs>
          <a:gs pos="50000">
            <a:srgbClr val="FBFBFB">
              <a:tint val="98000"/>
              <a:satMod val="130000"/>
              <a:shade val="90000"/>
              <a:lumMod val="103000"/>
            </a:srgbClr>
          </a:gs>
          <a:gs pos="100000">
            <a:srgbClr val="D0D0D0">
              <a:shade val="63000"/>
              <a:satMod val="120000"/>
            </a:srgbClr>
          </a:gs>
        </a:gsLst>
        <a:lin ang="5400000" scaled="false"/>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rgbClr val="FFFFFF"/>
      </a:solidFill>
      <a:gradFill rotWithShape="true">
        <a:gsLst>
          <a:gs pos="0">
            <a:srgbClr val="FFFFFF">
              <a:lumMod val="110000"/>
              <a:satMod val="105000"/>
              <a:tint val="67000"/>
            </a:srgbClr>
          </a:gs>
          <a:gs pos="50000">
            <a:srgbClr val="FFFFFF">
              <a:lumMod val="105000"/>
              <a:satMod val="103000"/>
              <a:tint val="73000"/>
            </a:srgbClr>
          </a:gs>
          <a:gs pos="100000">
            <a:srgbClr val="FFFFFF">
              <a:lumMod val="105000"/>
              <a:satMod val="109000"/>
              <a:tint val="81000"/>
            </a:srgbClr>
          </a:gs>
        </a:gsLst>
        <a:lin ang="5400000" scaled="false"/>
      </a:gradFill>
      <a:gradFill rotWithShape="true">
        <a:gsLst>
          <a:gs pos="0">
            <a:srgbClr val="FFFFFF">
              <a:satMod val="103000"/>
              <a:lumMod val="102000"/>
              <a:tint val="94000"/>
            </a:srgbClr>
          </a:gs>
          <a:gs pos="50000">
            <a:srgbClr val="FFFFFF">
              <a:satMod val="110000"/>
              <a:lumMod val="100000"/>
              <a:shade val="100000"/>
            </a:srgbClr>
          </a:gs>
          <a:gs pos="100000">
            <a:srgbClr val="E2E2E2">
              <a:lumMod val="99000"/>
              <a:satMod val="120000"/>
              <a:shade val="78000"/>
            </a:srgbClr>
          </a:gs>
        </a:gsLst>
        <a:lin ang="5400000" scaled="false"/>
      </a:gradFill>
    </a:fillStyleLst>
    <a:lnStyleLst>
      <a:ln w="6350" cap="flat" cmpd="sng" algn="ctr">
        <a:solidFill>
          <a:srgbClr val="FFFFFF"/>
        </a:solidFill>
        <a:prstDash val="solid"/>
        <a:miter lim="800000"/>
      </a:ln>
      <a:ln w="12700" cap="flat" cmpd="sng" algn="ctr">
        <a:solidFill>
          <a:srgbClr val="FFFFFF"/>
        </a:solidFill>
        <a:prstDash val="solid"/>
        <a:miter lim="800000"/>
      </a:ln>
      <a:ln w="19050" cap="flat" cmpd="sng" algn="ctr">
        <a:solidFill>
          <a:srgbClr val="FFFFFF"/>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rgbClr val="FFFFFF"/>
      </a:solidFill>
      <a:solidFill>
        <a:srgbClr val="FFFFFF">
          <a:tint val="95000"/>
          <a:satMod val="170000"/>
        </a:srgbClr>
      </a:solidFill>
      <a:gradFill rotWithShape="true">
        <a:gsLst>
          <a:gs pos="0">
            <a:srgbClr val="FFFFFF">
              <a:tint val="93000"/>
              <a:satMod val="150000"/>
              <a:shade val="98000"/>
              <a:lumMod val="102000"/>
            </a:srgbClr>
          </a:gs>
          <a:gs pos="50000">
            <a:srgbClr val="FBFBFB">
              <a:tint val="98000"/>
              <a:satMod val="130000"/>
              <a:shade val="90000"/>
              <a:lumMod val="103000"/>
            </a:srgbClr>
          </a:gs>
          <a:gs pos="100000">
            <a:srgbClr val="D0D0D0">
              <a:shade val="63000"/>
              <a:satMod val="120000"/>
            </a:srgbClr>
          </a:gs>
        </a:gsLst>
        <a:lin ang="5400000" scaled="false"/>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Pages>
  <Words>9202</Words>
  <Characters>11947</Characters>
  <TotalTime>2.33333333333333</TotalTime>
  <ScaleCrop>false</ScaleCrop>
  <LinksUpToDate>false</LinksUpToDate>
  <CharactersWithSpaces>11961</CharactersWithSpaces>
  <Application>WPS Office_11.8.2.10251_F1E327BC-269C-435d-A152-05C5408002CA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2023-08-29T14:50:00Z</dcterms:created>
  <dc:creator>Kingsoft-PDF</dc:creator>
  <cp:lastModifiedBy>kylin</cp:lastModifiedBy>
  <cp:lastPrinted>2026-08-20T13:11:00Z</cp:lastPrinted>
  <dcterms:modified xsi:type="dcterms:W3CDTF">2026-09-01T11:07:30Z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2023-08-24T06:50:31Z</vt:filetime>
  </property>
  <property fmtid="{D5CDD505-2E9C-101B-9397-08002B2CF9AE}" pid="4" name="UsrData">
    <vt:lpwstr>64dc719f026568001f41ef2awl</vt:lpwstr>
  </property>
  <property fmtid="{D5CDD505-2E9C-101B-9397-08002B2CF9AE}" pid="5" name="KSOProductBuildVer">
    <vt:lpwstr>2052-11.8.2.10251</vt:lpwstr>
  </property>
  <property fmtid="{D5CDD505-2E9C-101B-9397-08002B2CF9AE}" pid="6" name="ICV">
    <vt:lpwstr>0D93F03B80284869A67C6A7701A36F91_13</vt:lpwstr>
  </property>
</Properties>
</file>