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bookmarkStart w:id="43" w:name="_GoBack"/>
      <w:bookmarkEnd w:id="43"/>
    </w:p>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3"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4"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4"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4"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4"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4"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279" w:line="195" w:lineRule="auto"/>
        <w:ind w:right="1054" w:firstLine="883"/>
        <w:jc w:val="center"/>
        <w:rPr>
          <w:rFonts w:hint="eastAsia" w:ascii="Times New Roman" w:hAnsi="Times New Roman" w:eastAsia="方正小标宋_GBK" w:cs="Times New Roman"/>
          <w:color w:val="auto"/>
          <w:spacing w:val="-8"/>
          <w:sz w:val="72"/>
          <w:szCs w:val="72"/>
          <w:highlight w:val="none"/>
          <w:lang w:val="en-US" w:eastAsia="zh-CN"/>
        </w:rPr>
      </w:pPr>
      <w:r>
        <w:rPr>
          <w:rFonts w:hint="eastAsia" w:ascii="Times New Roman" w:hAnsi="Times New Roman" w:eastAsia="方正小标宋_GBK" w:cs="Times New Roman"/>
          <w:color w:val="auto"/>
          <w:spacing w:val="-8"/>
          <w:sz w:val="72"/>
          <w:szCs w:val="72"/>
          <w:highlight w:val="none"/>
          <w:lang w:val="en-US" w:eastAsia="zh-CN"/>
        </w:rPr>
        <w:t xml:space="preserve">  </w:t>
      </w:r>
      <w:r>
        <w:rPr>
          <w:rFonts w:hint="eastAsia" w:ascii="Times New Roman" w:hAnsi="Times New Roman" w:eastAsia="方正小标宋_GBK" w:cs="Times New Roman"/>
          <w:color w:val="auto"/>
          <w:spacing w:val="-8"/>
          <w:sz w:val="72"/>
          <w:szCs w:val="72"/>
          <w:highlight w:val="none"/>
          <w:lang w:eastAsia="zh-CN"/>
        </w:rPr>
        <w:t>桂东县消防救援大队</w:t>
      </w:r>
      <w:r>
        <w:rPr>
          <w:rFonts w:hint="eastAsia" w:ascii="Times New Roman" w:hAnsi="Times New Roman" w:eastAsia="方正小标宋_GBK" w:cs="Times New Roman"/>
          <w:color w:val="auto"/>
          <w:spacing w:val="-8"/>
          <w:sz w:val="72"/>
          <w:szCs w:val="72"/>
          <w:highlight w:val="none"/>
          <w:lang w:val="en-US" w:eastAsia="zh-CN"/>
        </w:rPr>
        <w:t xml:space="preserve">  </w:t>
      </w:r>
    </w:p>
    <w:p>
      <w:pPr>
        <w:keepNext w:val="0"/>
        <w:keepLines w:val="0"/>
        <w:pageBreakBefore w:val="0"/>
        <w:widowControl/>
        <w:kinsoku/>
        <w:wordWrap/>
        <w:overflowPunct w:val="0"/>
        <w:topLinePunct w:val="0"/>
        <w:bidi w:val="0"/>
        <w:spacing w:before="279" w:line="195" w:lineRule="auto"/>
        <w:ind w:right="1054" w:firstLine="883"/>
        <w:jc w:val="center"/>
        <w:rPr>
          <w:rFonts w:hint="default" w:ascii="Times New Roman" w:hAnsi="Times New Roman" w:eastAsia="方正小标宋_GBK" w:cs="Times New Roman"/>
          <w:color w:val="auto"/>
          <w:sz w:val="72"/>
          <w:szCs w:val="72"/>
          <w:highlight w:val="none"/>
        </w:rPr>
      </w:pPr>
      <w:r>
        <w:rPr>
          <w:rFonts w:hint="eastAsia" w:ascii="Times New Roman" w:hAnsi="Times New Roman" w:eastAsia="宋体" w:cs="Times New Roman"/>
          <w:color w:val="auto"/>
          <w:spacing w:val="-2"/>
          <w:sz w:val="72"/>
          <w:szCs w:val="72"/>
          <w:highlight w:val="none"/>
          <w:lang w:val="en-US" w:eastAsia="zh-CN"/>
        </w:rPr>
        <w:t xml:space="preserve">   </w:t>
      </w:r>
      <w:r>
        <w:rPr>
          <w:rFonts w:hint="default" w:ascii="Times New Roman" w:hAnsi="Times New Roman" w:eastAsia="Times New Roman" w:cs="Times New Roman"/>
          <w:color w:val="auto"/>
          <w:spacing w:val="-2"/>
          <w:sz w:val="72"/>
          <w:szCs w:val="72"/>
          <w:highlight w:val="none"/>
        </w:rPr>
        <w:t>202</w:t>
      </w:r>
      <w:r>
        <w:rPr>
          <w:rFonts w:hint="default" w:ascii="Times New Roman" w:hAnsi="Times New Roman" w:eastAsia="宋体" w:cs="Times New Roman"/>
          <w:color w:val="auto"/>
          <w:spacing w:val="-2"/>
          <w:sz w:val="72"/>
          <w:szCs w:val="72"/>
          <w:highlight w:val="none"/>
          <w:lang w:val="en-US" w:eastAsia="zh-CN"/>
        </w:rPr>
        <w:t>5</w:t>
      </w:r>
      <w:r>
        <w:rPr>
          <w:rFonts w:hint="default" w:ascii="Times New Roman" w:hAnsi="Times New Roman" w:eastAsia="方正小标宋_GBK" w:cs="Times New Roman"/>
          <w:color w:val="auto"/>
          <w:spacing w:val="-2"/>
          <w:sz w:val="72"/>
          <w:szCs w:val="72"/>
          <w:highlight w:val="none"/>
        </w:rPr>
        <w:t>年</w:t>
      </w:r>
      <w:r>
        <w:rPr>
          <w:rFonts w:hint="eastAsia" w:ascii="Times New Roman" w:hAnsi="Times New Roman" w:eastAsia="方正小标宋_GBK" w:cs="Times New Roman"/>
          <w:color w:val="auto"/>
          <w:spacing w:val="-2"/>
          <w:sz w:val="72"/>
          <w:szCs w:val="72"/>
          <w:highlight w:val="none"/>
          <w:lang w:eastAsia="zh-CN"/>
        </w:rPr>
        <w:t>经费</w:t>
      </w:r>
      <w:r>
        <w:rPr>
          <w:rFonts w:hint="default" w:ascii="Times New Roman" w:hAnsi="Times New Roman" w:eastAsia="方正小标宋_GBK" w:cs="Times New Roman"/>
          <w:color w:val="auto"/>
          <w:spacing w:val="-2"/>
          <w:sz w:val="72"/>
          <w:szCs w:val="72"/>
          <w:highlight w:val="none"/>
        </w:rPr>
        <w:t>决算</w:t>
      </w:r>
    </w:p>
    <w:p>
      <w:pPr>
        <w:pStyle w:val="5"/>
        <w:keepNext w:val="0"/>
        <w:keepLines w:val="0"/>
        <w:pageBreakBefore w:val="0"/>
        <w:widowControl/>
        <w:kinsoku/>
        <w:wordWrap/>
        <w:overflowPunct w:val="0"/>
        <w:topLinePunct w:val="0"/>
        <w:bidi w:val="0"/>
        <w:spacing w:line="251"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1" w:lineRule="auto"/>
        <w:jc w:val="both"/>
        <w:rPr>
          <w:rFonts w:hint="default" w:ascii="Times New Roman" w:hAnsi="Times New Roman" w:cs="Times New Roman"/>
          <w:color w:val="auto"/>
          <w:highlight w:val="none"/>
        </w:rPr>
      </w:pPr>
      <w:r>
        <w:rPr>
          <w:color w:val="auto"/>
          <w:highlight w:val="none"/>
        </w:rPr>
        <w:drawing>
          <wp:anchor distT="0" distB="0" distL="114300" distR="114300" simplePos="0" relativeHeight="251675648" behindDoc="0" locked="0" layoutInCell="1" allowOverlap="1">
            <wp:simplePos x="0" y="0"/>
            <wp:positionH relativeFrom="column">
              <wp:posOffset>1574165</wp:posOffset>
            </wp:positionH>
            <wp:positionV relativeFrom="paragraph">
              <wp:posOffset>33655</wp:posOffset>
            </wp:positionV>
            <wp:extent cx="2341245" cy="2186305"/>
            <wp:effectExtent l="0" t="0" r="1905" b="4445"/>
            <wp:wrapSquare wrapText="bothSides"/>
            <wp:docPr id="1"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true"/>
                    </pic:cNvPicPr>
                  </pic:nvPicPr>
                  <pic:blipFill>
                    <a:blip r:embed="rId16"/>
                    <a:stretch>
                      <a:fillRect/>
                    </a:stretch>
                  </pic:blipFill>
                  <pic:spPr>
                    <a:xfrm>
                      <a:off x="0" y="0"/>
                      <a:ext cx="2341245" cy="2186305"/>
                    </a:xfrm>
                    <a:prstGeom prst="rect">
                      <a:avLst/>
                    </a:prstGeom>
                    <a:noFill/>
                    <a:ln>
                      <a:noFill/>
                    </a:ln>
                  </pic:spPr>
                </pic:pic>
              </a:graphicData>
            </a:graphic>
          </wp:anchor>
        </w:drawing>
      </w:r>
    </w:p>
    <w:p>
      <w:pPr>
        <w:pStyle w:val="5"/>
        <w:keepNext w:val="0"/>
        <w:keepLines w:val="0"/>
        <w:pageBreakBefore w:val="0"/>
        <w:widowControl/>
        <w:kinsoku/>
        <w:wordWrap/>
        <w:overflowPunct w:val="0"/>
        <w:topLinePunct w:val="0"/>
        <w:bidi w:val="0"/>
        <w:spacing w:line="251"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1"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1"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2"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2"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2"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2"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line="3137" w:lineRule="exact"/>
        <w:ind w:firstLine="2685"/>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line="3137" w:lineRule="exact"/>
        <w:jc w:val="both"/>
        <w:rPr>
          <w:rFonts w:hint="default" w:ascii="Times New Roman" w:hAnsi="Times New Roman" w:cs="Times New Roman"/>
          <w:color w:val="auto"/>
          <w:highlight w:val="none"/>
        </w:rPr>
        <w:sectPr>
          <w:pgSz w:w="11907" w:h="16839"/>
          <w:pgMar w:top="2098" w:right="1531" w:bottom="1531" w:left="1531" w:header="0" w:footer="0" w:gutter="0"/>
          <w:pgBorders>
            <w:top w:val="none" w:sz="0" w:space="0"/>
            <w:left w:val="none" w:sz="0" w:space="0"/>
            <w:bottom w:val="none" w:sz="0" w:space="0"/>
            <w:right w:val="none" w:sz="0" w:space="0"/>
          </w:pgBorders>
          <w:pgNumType w:fmt="decimal"/>
          <w:cols w:space="720" w:num="1"/>
        </w:sectPr>
      </w:pPr>
    </w:p>
    <w:p>
      <w:pPr>
        <w:pStyle w:val="5"/>
        <w:keepNext w:val="0"/>
        <w:keepLines w:val="0"/>
        <w:pageBreakBefore w:val="0"/>
        <w:widowControl/>
        <w:kinsoku/>
        <w:wordWrap/>
        <w:overflowPunct w:val="0"/>
        <w:topLinePunct w:val="0"/>
        <w:bidi w:val="0"/>
        <w:spacing w:line="297" w:lineRule="auto"/>
        <w:jc w:val="both"/>
        <w:rPr>
          <w:rFonts w:hint="default" w:ascii="Times New Roman" w:hAnsi="Times New Roman" w:cs="Times New Roman"/>
          <w:color w:val="auto"/>
          <w:highlight w:val="none"/>
        </w:rPr>
      </w:pPr>
    </w:p>
    <w:sdt>
      <w:sdtPr>
        <w:rPr>
          <w:rFonts w:hint="eastAsia" w:ascii="方正楷体_GBK" w:hAnsi="方正楷体_GBK" w:eastAsia="方正楷体_GBK" w:cs="方正楷体_GBK"/>
          <w:snapToGrid w:val="0"/>
          <w:color w:val="000000"/>
          <w:kern w:val="0"/>
          <w:sz w:val="28"/>
          <w:szCs w:val="28"/>
          <w:lang w:val="en-US" w:eastAsia="en-US" w:bidi="ar-SA"/>
        </w:rPr>
        <w:id w:val="684682108"/>
        <w15:color w:val="DBDBDB"/>
        <w:docPartObj>
          <w:docPartGallery w:val="Table of Contents"/>
          <w:docPartUnique/>
        </w:docPartObj>
      </w:sdtPr>
      <w:sdtEndPr>
        <w:rPr>
          <w:rFonts w:hint="default" w:ascii="Times New Roman" w:hAnsi="Times New Roman" w:eastAsia="方正楷体_GBK" w:cs="Times New Roman"/>
          <w:snapToGrid w:val="0"/>
          <w:color w:val="auto"/>
          <w:kern w:val="0"/>
          <w:sz w:val="21"/>
          <w:szCs w:val="31"/>
          <w:highlight w:val="none"/>
          <w:lang w:val="en-US" w:eastAsia="en-US" w:bidi="ar-SA"/>
        </w:rPr>
      </w:sdtEndPr>
      <w:sdtContent>
        <w:p>
          <w:pPr>
            <w:keepNext w:val="0"/>
            <w:keepLines w:val="0"/>
            <w:pageBreakBefore w:val="0"/>
            <w:widowControl/>
            <w:kinsoku/>
            <w:wordWrap/>
            <w:overflowPunct w:val="0"/>
            <w:topLinePunct w:val="0"/>
            <w:bidi w:val="0"/>
            <w:spacing w:before="0" w:beforeLines="0" w:after="0" w:afterLines="0" w:line="240" w:lineRule="auto"/>
            <w:ind w:left="0" w:leftChars="0" w:right="0" w:rightChars="0" w:firstLine="0" w:firstLineChars="0"/>
            <w:jc w:val="center"/>
            <w:rPr>
              <w:rFonts w:hint="eastAsia" w:ascii="方正楷体_GBK" w:hAnsi="方正楷体_GBK" w:eastAsia="方正楷体_GBK" w:cs="方正楷体_GBK"/>
              <w:sz w:val="28"/>
              <w:szCs w:val="28"/>
            </w:rPr>
          </w:pPr>
          <w:bookmarkStart w:id="0" w:name="bookmark1"/>
          <w:bookmarkEnd w:id="0"/>
          <w:r>
            <w:rPr>
              <w:rFonts w:hint="eastAsia" w:ascii="方正楷体_GBK" w:hAnsi="方正楷体_GBK" w:eastAsia="方正楷体_GBK" w:cs="方正楷体_GBK"/>
              <w:sz w:val="52"/>
              <w:szCs w:val="52"/>
            </w:rPr>
            <w:t>目</w:t>
          </w:r>
          <w:r>
            <w:rPr>
              <w:rFonts w:hint="eastAsia" w:ascii="方正楷体_GBK" w:hAnsi="方正楷体_GBK" w:eastAsia="方正楷体_GBK" w:cs="方正楷体_GBK"/>
              <w:sz w:val="52"/>
              <w:szCs w:val="52"/>
              <w:lang w:val="en-US" w:eastAsia="zh-CN"/>
            </w:rPr>
            <w:t xml:space="preserve">  </w:t>
          </w:r>
          <w:r>
            <w:rPr>
              <w:rFonts w:hint="eastAsia" w:ascii="方正楷体_GBK" w:hAnsi="方正楷体_GBK" w:eastAsia="方正楷体_GBK" w:cs="方正楷体_GBK"/>
              <w:sz w:val="52"/>
              <w:szCs w:val="52"/>
            </w:rPr>
            <w:t>录</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方正楷体_GBK" w:hAnsi="方正楷体_GBK" w:eastAsia="方正楷体_GBK" w:cs="方正楷体_GBK"/>
              <w:sz w:val="28"/>
              <w:szCs w:val="28"/>
            </w:rPr>
          </w:pPr>
          <w:r>
            <w:rPr>
              <w:rFonts w:hint="eastAsia" w:ascii="方正楷体_GBK" w:hAnsi="方正楷体_GBK" w:eastAsia="方正楷体_GBK" w:cs="方正楷体_GBK"/>
              <w:color w:val="auto"/>
              <w:sz w:val="28"/>
              <w:szCs w:val="28"/>
              <w:highlight w:val="none"/>
            </w:rPr>
            <w:fldChar w:fldCharType="begin"/>
          </w:r>
          <w:r>
            <w:rPr>
              <w:rFonts w:hint="eastAsia" w:ascii="方正楷体_GBK" w:hAnsi="方正楷体_GBK" w:eastAsia="方正楷体_GBK" w:cs="方正楷体_GBK"/>
              <w:color w:val="auto"/>
              <w:sz w:val="28"/>
              <w:szCs w:val="28"/>
              <w:highlight w:val="none"/>
            </w:rPr>
            <w:instrText xml:space="preserve">TOC \o "1-3" \h \u </w:instrText>
          </w:r>
          <w:r>
            <w:rPr>
              <w:rFonts w:hint="eastAsia" w:ascii="方正楷体_GBK" w:hAnsi="方正楷体_GBK" w:eastAsia="方正楷体_GBK" w:cs="方正楷体_GBK"/>
              <w:color w:val="auto"/>
              <w:sz w:val="28"/>
              <w:szCs w:val="28"/>
              <w:highlight w:val="none"/>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_Toc509477910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第一部分</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zh-CN" w:bidi="ar-SA"/>
            </w:rPr>
            <w:t xml:space="preserve">    </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_Toc1863925695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zh-CN" w:bidi="ar-SA"/>
            </w:rPr>
            <w:t>桂东县消防救援大队</w:t>
          </w:r>
          <w:r>
            <w:rPr>
              <w:rFonts w:hint="eastAsia" w:ascii="Times New Roman" w:hAnsi="Times New Roman" w:eastAsia="方正黑体_GBK" w:cs="Times New Roman"/>
              <w:snapToGrid w:val="0"/>
              <w:color w:val="auto"/>
              <w:spacing w:val="7"/>
              <w:kern w:val="0"/>
              <w:sz w:val="31"/>
              <w:szCs w:val="31"/>
              <w:highlight w:val="none"/>
              <w:lang w:val="en-US" w:eastAsia="en-US" w:bidi="ar-SA"/>
            </w:rPr>
            <w:t>概</w:t>
          </w:r>
          <w:r>
            <w:rPr>
              <w:rFonts w:hint="eastAsia" w:ascii="Times New Roman" w:hAnsi="Times New Roman" w:eastAsia="方正黑体_GBK" w:cs="Times New Roman"/>
              <w:snapToGrid w:val="0"/>
              <w:color w:val="auto"/>
              <w:spacing w:val="7"/>
              <w:kern w:val="0"/>
              <w:sz w:val="31"/>
              <w:szCs w:val="31"/>
              <w:highlight w:val="none"/>
              <w:lang w:val="en-US" w:eastAsia="zh-CN" w:bidi="ar-SA"/>
            </w:rPr>
            <w:t>况</w:t>
          </w:r>
          <w:r>
            <w:rPr>
              <w:rFonts w:hint="eastAsia" w:ascii="Times New Roman" w:hAnsi="Times New Roman" w:eastAsia="方正黑体_GBK" w:cs="Times New Roman"/>
              <w:snapToGrid w:val="0"/>
              <w:color w:val="auto"/>
              <w:spacing w:val="7"/>
              <w:kern w:val="0"/>
              <w:sz w:val="31"/>
              <w:szCs w:val="31"/>
              <w:highlight w:val="none"/>
              <w:lang w:val="en-US" w:eastAsia="en-US" w:bidi="ar-SA"/>
            </w:rPr>
            <w:tab/>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PAGEREF _Toc1863925695 \h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1</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_Toc241871418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一、</w:t>
          </w:r>
          <w:r>
            <w:rPr>
              <w:rFonts w:hint="eastAsia" w:ascii="Times New Roman" w:hAnsi="Times New Roman" w:eastAsia="方正楷体_GBK" w:cs="Times New Roman"/>
              <w:snapToGrid w:val="0"/>
              <w:color w:val="auto"/>
              <w:spacing w:val="-12"/>
              <w:kern w:val="0"/>
              <w:sz w:val="31"/>
              <w:szCs w:val="31"/>
              <w:highlight w:val="none"/>
              <w:lang w:val="en-US" w:eastAsia="zh-CN" w:bidi="ar-SA"/>
            </w:rPr>
            <w:t>主要</w:t>
          </w:r>
          <w:r>
            <w:rPr>
              <w:rFonts w:hint="eastAsia" w:ascii="Times New Roman" w:hAnsi="Times New Roman" w:eastAsia="方正楷体_GBK" w:cs="Times New Roman"/>
              <w:snapToGrid w:val="0"/>
              <w:color w:val="auto"/>
              <w:spacing w:val="-12"/>
              <w:kern w:val="0"/>
              <w:sz w:val="31"/>
              <w:szCs w:val="31"/>
              <w:highlight w:val="none"/>
              <w:lang w:val="en-US" w:eastAsia="en-US" w:bidi="ar-SA"/>
            </w:rPr>
            <w:t>职责</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_Toc241871418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_Toc727024387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二、机构设置</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_Toc727024387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方正楷体_GBK" w:hAnsi="方正楷体_GBK" w:eastAsia="方正楷体_GBK" w:cs="方正楷体_GBK"/>
              <w:color w:val="auto"/>
              <w:sz w:val="28"/>
              <w:szCs w:val="28"/>
              <w:highlight w:val="none"/>
            </w:rPr>
          </w:pP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_Toc790115687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第二部分</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zh-CN" w:bidi="ar-SA"/>
            </w:rPr>
            <w:t xml:space="preserve">    桂东县消防救援大队</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_Toc1643600123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202</w:t>
          </w:r>
          <w:r>
            <w:rPr>
              <w:rFonts w:hint="eastAsia" w:ascii="Times New Roman" w:hAnsi="Times New Roman" w:eastAsia="方正黑体_GBK" w:cs="Times New Roman"/>
              <w:snapToGrid w:val="0"/>
              <w:color w:val="auto"/>
              <w:spacing w:val="7"/>
              <w:kern w:val="0"/>
              <w:sz w:val="31"/>
              <w:szCs w:val="31"/>
              <w:highlight w:val="none"/>
              <w:lang w:val="en-US" w:eastAsia="zh-CN" w:bidi="ar-SA"/>
            </w:rPr>
            <w:t>5</w:t>
          </w:r>
          <w:r>
            <w:rPr>
              <w:rFonts w:hint="eastAsia" w:ascii="Times New Roman" w:hAnsi="Times New Roman" w:eastAsia="方正黑体_GBK" w:cs="Times New Roman"/>
              <w:snapToGrid w:val="0"/>
              <w:color w:val="auto"/>
              <w:spacing w:val="7"/>
              <w:kern w:val="0"/>
              <w:sz w:val="31"/>
              <w:szCs w:val="31"/>
              <w:highlight w:val="none"/>
              <w:lang w:val="en-US" w:eastAsia="en-US" w:bidi="ar-SA"/>
            </w:rPr>
            <w:t>年度</w:t>
          </w:r>
          <w:r>
            <w:rPr>
              <w:rFonts w:hint="eastAsia" w:ascii="Times New Roman" w:hAnsi="Times New Roman" w:eastAsia="方正黑体_GBK" w:cs="Times New Roman"/>
              <w:snapToGrid w:val="0"/>
              <w:color w:val="auto"/>
              <w:spacing w:val="7"/>
              <w:kern w:val="0"/>
              <w:sz w:val="31"/>
              <w:szCs w:val="31"/>
              <w:highlight w:val="none"/>
              <w:lang w:val="en-US" w:eastAsia="zh-CN" w:bidi="ar-SA"/>
            </w:rPr>
            <w:t>经费</w:t>
          </w:r>
          <w:r>
            <w:rPr>
              <w:rFonts w:hint="eastAsia" w:ascii="Times New Roman" w:hAnsi="Times New Roman" w:eastAsia="方正黑体_GBK" w:cs="Times New Roman"/>
              <w:snapToGrid w:val="0"/>
              <w:color w:val="auto"/>
              <w:spacing w:val="7"/>
              <w:kern w:val="0"/>
              <w:sz w:val="31"/>
              <w:szCs w:val="31"/>
              <w:highlight w:val="none"/>
              <w:lang w:val="en-US" w:eastAsia="en-US" w:bidi="ar-SA"/>
            </w:rPr>
            <w:t>决算表</w:t>
          </w:r>
          <w:r>
            <w:rPr>
              <w:rFonts w:hint="eastAsia" w:ascii="Times New Roman" w:hAnsi="Times New Roman" w:eastAsia="方正黑体_GBK" w:cs="Times New Roman"/>
              <w:snapToGrid w:val="0"/>
              <w:color w:val="auto"/>
              <w:spacing w:val="7"/>
              <w:kern w:val="0"/>
              <w:sz w:val="31"/>
              <w:szCs w:val="31"/>
              <w:highlight w:val="none"/>
              <w:lang w:val="en-US" w:eastAsia="en-US" w:bidi="ar-SA"/>
            </w:rPr>
            <w:tab/>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PAGEREF _Toc1643600123 \h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4</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default" w:ascii="Times New Roman" w:hAnsi="Times New Roman" w:eastAsia="方正楷体_GBK" w:cs="Times New Roman"/>
              <w:snapToGrid w:val="0"/>
              <w:color w:val="auto"/>
              <w:spacing w:val="-12"/>
              <w:kern w:val="0"/>
              <w:sz w:val="31"/>
              <w:szCs w:val="31"/>
              <w:highlight w:val="none"/>
              <w:lang w:val="en-US" w:eastAsia="en-US"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"bookmark6"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一、收入支出决算总表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zh-CN" w:bidi="ar-SA"/>
            </w:rPr>
            <w:t>6</w: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"bookmark7"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二、收入决算表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7</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default"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"bookmark8"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三、支出决算表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8</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"bookmark9"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四、财政拨款收入支出决算总表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9</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"bookmark10"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五、一般公共预算财政拨款支出决算表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zh-CN" w:bidi="ar-SA"/>
            </w:rPr>
            <w:t>1</w: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0</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"bookmark11"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六、一般公共预算财政拨款基本支出决算明细表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t>1</w: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1</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"bookmark12"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七、政府性基金预算财政收入支出决算表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t>1</w: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2</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"bookmark13"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八、国有资本经营预算财政拨款支出决算表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t>1</w: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3</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default"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"bookmark14" </w:instrTex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default" w:ascii="Times New Roman" w:hAnsi="Times New Roman" w:eastAsia="方正楷体_GBK" w:cs="Times New Roman"/>
              <w:snapToGrid w:val="0"/>
              <w:color w:val="auto"/>
              <w:spacing w:val="-12"/>
              <w:kern w:val="0"/>
              <w:sz w:val="31"/>
              <w:szCs w:val="31"/>
              <w:highlight w:val="none"/>
              <w:lang w:val="en-US" w:eastAsia="en-US" w:bidi="ar-SA"/>
            </w:rPr>
            <w:t>九、财政拨款</w:t>
          </w:r>
          <w:r>
            <w:rPr>
              <w:rFonts w:hint="eastAsia" w:ascii="Times New Roman" w:hAnsi="Times New Roman" w:eastAsia="方正楷体_GBK" w:cs="Times New Roman"/>
              <w:snapToGrid w:val="0"/>
              <w:color w:val="auto"/>
              <w:spacing w:val="-12"/>
              <w:kern w:val="0"/>
              <w:sz w:val="31"/>
              <w:szCs w:val="31"/>
              <w:highlight w:val="none"/>
              <w:lang w:val="en-US" w:eastAsia="zh-CN" w:bidi="ar-SA"/>
            </w:rPr>
            <w:t>“</w:t>
          </w:r>
          <w:r>
            <w:rPr>
              <w:rFonts w:hint="default" w:ascii="Times New Roman" w:hAnsi="Times New Roman" w:eastAsia="方正楷体_GBK" w:cs="Times New Roman"/>
              <w:snapToGrid w:val="0"/>
              <w:color w:val="auto"/>
              <w:spacing w:val="-12"/>
              <w:kern w:val="0"/>
              <w:sz w:val="31"/>
              <w:szCs w:val="31"/>
              <w:highlight w:val="none"/>
              <w:lang w:val="en-US" w:eastAsia="en-US" w:bidi="ar-SA"/>
            </w:rPr>
            <w:t xml:space="preserve">三公”经费支出决算表 </w:t>
          </w:r>
          <w:r>
            <w:rPr>
              <w:rFonts w:hint="default" w:ascii="Times New Roman" w:hAnsi="Times New Roman" w:eastAsia="方正楷体_GBK" w:cs="Times New Roman"/>
              <w:snapToGrid w:val="0"/>
              <w:color w:val="auto"/>
              <w:spacing w:val="-12"/>
              <w:kern w:val="0"/>
              <w:sz w:val="31"/>
              <w:szCs w:val="31"/>
              <w:highlight w:val="none"/>
              <w:lang w:val="en-US" w:eastAsia="en-US" w:bidi="ar-SA"/>
            </w:rPr>
            <w:tab/>
          </w:r>
          <w:r>
            <w:rPr>
              <w:rFonts w:hint="default" w:ascii="Times New Roman" w:hAnsi="Times New Roman" w:eastAsia="方正楷体_GBK" w:cs="Times New Roman"/>
              <w:snapToGrid w:val="0"/>
              <w:color w:val="auto"/>
              <w:spacing w:val="-12"/>
              <w:kern w:val="0"/>
              <w:sz w:val="31"/>
              <w:szCs w:val="31"/>
              <w:highlight w:val="none"/>
              <w:lang w:val="en-US" w:eastAsia="en-US" w:bidi="ar-SA"/>
            </w:rPr>
            <w:t>1</w:t>
          </w:r>
          <w:r>
            <w:rPr>
              <w:rFonts w:hint="default"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zh-CN" w:bidi="ar-SA"/>
            </w:rPr>
            <w:t>4</w:t>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方正楷体_GBK" w:hAnsi="方正楷体_GBK" w:eastAsia="方正楷体_GBK" w:cs="方正楷体_GBK"/>
              <w:sz w:val="28"/>
              <w:szCs w:val="28"/>
              <w:lang w:val="en-US" w:eastAsia="zh-CN"/>
            </w:rPr>
          </w:pP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_Toc1307376636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第三部分</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zh-CN" w:bidi="ar-SA"/>
            </w:rPr>
            <w:t xml:space="preserve">    </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_Toc1054484946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202</w:t>
          </w:r>
          <w:r>
            <w:rPr>
              <w:rFonts w:hint="eastAsia" w:ascii="Times New Roman" w:hAnsi="Times New Roman" w:eastAsia="方正黑体_GBK" w:cs="Times New Roman"/>
              <w:snapToGrid w:val="0"/>
              <w:color w:val="auto"/>
              <w:spacing w:val="7"/>
              <w:kern w:val="0"/>
              <w:sz w:val="31"/>
              <w:szCs w:val="31"/>
              <w:highlight w:val="none"/>
              <w:lang w:val="en-US" w:eastAsia="zh-CN" w:bidi="ar-SA"/>
            </w:rPr>
            <w:t>5</w:t>
          </w:r>
          <w:r>
            <w:rPr>
              <w:rFonts w:hint="eastAsia" w:ascii="Times New Roman" w:hAnsi="Times New Roman" w:eastAsia="方正黑体_GBK" w:cs="Times New Roman"/>
              <w:snapToGrid w:val="0"/>
              <w:color w:val="auto"/>
              <w:spacing w:val="7"/>
              <w:kern w:val="0"/>
              <w:sz w:val="31"/>
              <w:szCs w:val="31"/>
              <w:highlight w:val="none"/>
              <w:lang w:val="en-US" w:eastAsia="en-US" w:bidi="ar-SA"/>
            </w:rPr>
            <w:t>年度决算情况说明</w:t>
          </w:r>
          <w:r>
            <w:rPr>
              <w:rFonts w:hint="eastAsia" w:ascii="Times New Roman" w:hAnsi="Times New Roman" w:eastAsia="方正黑体_GBK" w:cs="Times New Roman"/>
              <w:snapToGrid w:val="0"/>
              <w:color w:val="auto"/>
              <w:spacing w:val="7"/>
              <w:kern w:val="0"/>
              <w:sz w:val="31"/>
              <w:szCs w:val="31"/>
              <w:highlight w:val="none"/>
              <w:lang w:val="en-US" w:eastAsia="en-US" w:bidi="ar-SA"/>
            </w:rPr>
            <w:tab/>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PAGEREF _Toc1054484946 \h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14</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_Toc631281580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一、收入支出决算总体情况说明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_Toc631281580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15</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_Toc1943210716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二、收入决算情况说明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_Toc1943210716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16</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_Toc293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三、支出决算情况说明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_Toc293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16</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zh-CN"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_Toc990742335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zh-CN" w:bidi="ar-SA"/>
            </w:rPr>
            <w:t>四、</w:t>
          </w:r>
          <w:r>
            <w:rPr>
              <w:rFonts w:hint="eastAsia" w:ascii="Times New Roman" w:hAnsi="Times New Roman" w:eastAsia="方正楷体_GBK" w:cs="Times New Roman"/>
              <w:snapToGrid w:val="0"/>
              <w:color w:val="auto"/>
              <w:spacing w:val="-12"/>
              <w:kern w:val="0"/>
              <w:sz w:val="31"/>
              <w:szCs w:val="31"/>
              <w:highlight w:val="none"/>
              <w:lang w:val="en-US" w:eastAsia="en-US" w:bidi="ar-SA"/>
            </w:rPr>
            <w:t>财政拨款收入支出决算总体情况说明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_Toc990742335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17</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方正楷体_GBK" w:hAnsi="方正楷体_GBK" w:eastAsia="方正楷体_GBK" w:cs="方正楷体_GBK"/>
              <w:sz w:val="28"/>
              <w:szCs w:val="28"/>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_Toc1175641081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五、一般公共预算财政拨款支出决算情况说明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_Toc1175641081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18</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_Toc1951277322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六、一般公共预算财政拨款基本支出决算情况说明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_Toc1951277322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19</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_Toc660977863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七、财政拨款</w:t>
          </w:r>
          <w:r>
            <w:rPr>
              <w:rFonts w:hint="eastAsia" w:ascii="Times New Roman" w:hAnsi="Times New Roman" w:eastAsia="方正楷体_GBK" w:cs="Times New Roman"/>
              <w:snapToGrid w:val="0"/>
              <w:color w:val="auto"/>
              <w:spacing w:val="-12"/>
              <w:kern w:val="0"/>
              <w:sz w:val="31"/>
              <w:szCs w:val="31"/>
              <w:highlight w:val="none"/>
              <w:lang w:val="en-US" w:eastAsia="zh-CN" w:bidi="ar-SA"/>
            </w:rPr>
            <w:t>“三公”经费</w:t>
          </w:r>
          <w:r>
            <w:rPr>
              <w:rFonts w:hint="eastAsia" w:ascii="Times New Roman" w:hAnsi="Times New Roman" w:eastAsia="方正楷体_GBK" w:cs="Times New Roman"/>
              <w:snapToGrid w:val="0"/>
              <w:color w:val="auto"/>
              <w:spacing w:val="-12"/>
              <w:kern w:val="0"/>
              <w:sz w:val="31"/>
              <w:szCs w:val="31"/>
              <w:highlight w:val="none"/>
              <w:lang w:val="en-US" w:eastAsia="en-US" w:bidi="ar-SA"/>
            </w:rPr>
            <w:t>支出决算情况说明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_Toc660977863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20</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_Toc286975877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八、机关运行经费支出情况说明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_Toc286975877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20</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_Toc13169103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zh-CN" w:bidi="ar-SA"/>
            </w:rPr>
            <w:t>九、</w:t>
          </w:r>
          <w:r>
            <w:rPr>
              <w:rFonts w:hint="eastAsia" w:ascii="Times New Roman" w:hAnsi="Times New Roman" w:eastAsia="方正楷体_GBK" w:cs="Times New Roman"/>
              <w:snapToGrid w:val="0"/>
              <w:color w:val="auto"/>
              <w:spacing w:val="-12"/>
              <w:kern w:val="0"/>
              <w:sz w:val="31"/>
              <w:szCs w:val="31"/>
              <w:highlight w:val="none"/>
              <w:lang w:val="en-US" w:eastAsia="en-US" w:bidi="ar-SA"/>
            </w:rPr>
            <w:t>政府采购支出情况说明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_Toc13169103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20</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Times New Roman" w:hAnsi="Times New Roman" w:eastAsia="方正楷体_GBK" w:cs="Times New Roman"/>
              <w:snapToGrid w:val="0"/>
              <w:color w:val="auto"/>
              <w:spacing w:val="-12"/>
              <w:kern w:val="0"/>
              <w:sz w:val="31"/>
              <w:szCs w:val="31"/>
              <w:highlight w:val="none"/>
              <w:lang w:val="en-US" w:eastAsia="en-US" w:bidi="ar-SA"/>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_Toc1738618549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zh-CN" w:bidi="ar-SA"/>
            </w:rPr>
            <w:t>十、国有资产占用情况说明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_Toc1738618549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20</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方正楷体_GBK" w:hAnsi="方正楷体_GBK" w:eastAsia="方正楷体_GBK" w:cs="方正楷体_GBK"/>
              <w:sz w:val="28"/>
              <w:szCs w:val="28"/>
            </w:rPr>
          </w:pP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HYPERLINK \l _Toc642847263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zh-CN" w:bidi="ar-SA"/>
            </w:rPr>
            <w:t>十一、关于2025年度绩效评价情况的说明</w:t>
          </w:r>
          <w:r>
            <w:rPr>
              <w:rFonts w:hint="eastAsia" w:ascii="Times New Roman" w:hAnsi="Times New Roman" w:eastAsia="方正楷体_GBK" w:cs="Times New Roman"/>
              <w:snapToGrid w:val="0"/>
              <w:color w:val="auto"/>
              <w:spacing w:val="-12"/>
              <w:kern w:val="0"/>
              <w:sz w:val="31"/>
              <w:szCs w:val="31"/>
              <w:highlight w:val="none"/>
              <w:lang w:val="en-US" w:eastAsia="en-US" w:bidi="ar-SA"/>
            </w:rPr>
            <w:tab/>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begin"/>
          </w:r>
          <w:r>
            <w:rPr>
              <w:rFonts w:hint="eastAsia" w:ascii="Times New Roman" w:hAnsi="Times New Roman" w:eastAsia="方正楷体_GBK" w:cs="Times New Roman"/>
              <w:snapToGrid w:val="0"/>
              <w:color w:val="auto"/>
              <w:spacing w:val="-12"/>
              <w:kern w:val="0"/>
              <w:sz w:val="31"/>
              <w:szCs w:val="31"/>
              <w:highlight w:val="none"/>
              <w:lang w:val="en-US" w:eastAsia="en-US" w:bidi="ar-SA"/>
            </w:rPr>
            <w:instrText xml:space="preserve"> PAGEREF _Toc642847263 \h </w:instrTex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separate"/>
          </w:r>
          <w:r>
            <w:rPr>
              <w:rFonts w:hint="eastAsia" w:ascii="Times New Roman" w:hAnsi="Times New Roman" w:eastAsia="方正楷体_GBK" w:cs="Times New Roman"/>
              <w:snapToGrid w:val="0"/>
              <w:color w:val="auto"/>
              <w:spacing w:val="-12"/>
              <w:kern w:val="0"/>
              <w:sz w:val="31"/>
              <w:szCs w:val="31"/>
              <w:highlight w:val="none"/>
              <w:lang w:val="en-US" w:eastAsia="en-US" w:bidi="ar-SA"/>
            </w:rPr>
            <w:t>21</w:t>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r>
            <w:rPr>
              <w:rFonts w:hint="eastAsia" w:ascii="Times New Roman" w:hAnsi="Times New Roman" w:eastAsia="方正楷体_GBK" w:cs="Times New Roman"/>
              <w:snapToGrid w:val="0"/>
              <w:color w:val="auto"/>
              <w:spacing w:val="-12"/>
              <w:kern w:val="0"/>
              <w:sz w:val="31"/>
              <w:szCs w:val="31"/>
              <w:highlight w:val="none"/>
              <w:lang w:val="en-US" w:eastAsia="en-US" w:bidi="ar-SA"/>
            </w:rPr>
            <w:fldChar w:fldCharType="end"/>
          </w:r>
        </w:p>
        <w:p>
          <w:pPr>
            <w:pStyle w:val="9"/>
            <w:keepNext w:val="0"/>
            <w:keepLines w:val="0"/>
            <w:pageBreakBefore w:val="0"/>
            <w:widowControl/>
            <w:tabs>
              <w:tab w:val="right" w:leader="dot" w:pos="8845"/>
            </w:tabs>
            <w:kinsoku/>
            <w:wordWrap/>
            <w:overflowPunct w:val="0"/>
            <w:topLinePunct w:val="0"/>
            <w:autoSpaceDE w:val="0"/>
            <w:autoSpaceDN w:val="0"/>
            <w:bidi w:val="0"/>
            <w:adjustRightInd w:val="0"/>
            <w:snapToGrid w:val="0"/>
            <w:spacing w:line="640" w:lineRule="exact"/>
            <w:jc w:val="both"/>
            <w:textAlignment w:val="baseline"/>
            <w:rPr>
              <w:rFonts w:hint="eastAsia" w:ascii="方正楷体_GBK" w:hAnsi="方正楷体_GBK" w:eastAsia="方正楷体_GBK" w:cs="方正楷体_GBK"/>
              <w:sz w:val="28"/>
              <w:szCs w:val="28"/>
            </w:rPr>
          </w:pP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_Toc71824088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第四部分</w:t>
          </w:r>
          <w:r>
            <w:rPr>
              <w:rFonts w:hint="eastAsia" w:ascii="Times New Roman" w:hAnsi="Times New Roman" w:eastAsia="方正黑体_GBK" w:cs="Times New Roman"/>
              <w:snapToGrid w:val="0"/>
              <w:color w:val="auto"/>
              <w:spacing w:val="7"/>
              <w:kern w:val="0"/>
              <w:sz w:val="31"/>
              <w:szCs w:val="31"/>
              <w:highlight w:val="none"/>
              <w:lang w:val="en-US" w:eastAsia="zh-CN" w:bidi="ar-SA"/>
            </w:rPr>
            <w:t xml:space="preserve">    </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HYPERLINK \l _Toc1511929582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名词解释</w:t>
          </w:r>
          <w:r>
            <w:rPr>
              <w:rFonts w:hint="eastAsia" w:ascii="Times New Roman" w:hAnsi="Times New Roman" w:eastAsia="方正黑体_GBK" w:cs="Times New Roman"/>
              <w:snapToGrid w:val="0"/>
              <w:color w:val="auto"/>
              <w:spacing w:val="7"/>
              <w:kern w:val="0"/>
              <w:sz w:val="31"/>
              <w:szCs w:val="31"/>
              <w:highlight w:val="none"/>
              <w:lang w:val="en-US" w:eastAsia="en-US" w:bidi="ar-SA"/>
            </w:rPr>
            <w:tab/>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begin"/>
          </w:r>
          <w:r>
            <w:rPr>
              <w:rFonts w:hint="eastAsia" w:ascii="Times New Roman" w:hAnsi="Times New Roman" w:eastAsia="方正黑体_GBK" w:cs="Times New Roman"/>
              <w:snapToGrid w:val="0"/>
              <w:color w:val="auto"/>
              <w:spacing w:val="7"/>
              <w:kern w:val="0"/>
              <w:sz w:val="31"/>
              <w:szCs w:val="31"/>
              <w:highlight w:val="none"/>
              <w:lang w:val="en-US" w:eastAsia="en-US" w:bidi="ar-SA"/>
            </w:rPr>
            <w:instrText xml:space="preserve"> PAGEREF _Toc1511929582 \h </w:instrTex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separate"/>
          </w:r>
          <w:r>
            <w:rPr>
              <w:rFonts w:hint="eastAsia" w:ascii="Times New Roman" w:hAnsi="Times New Roman" w:eastAsia="方正黑体_GBK" w:cs="Times New Roman"/>
              <w:snapToGrid w:val="0"/>
              <w:color w:val="auto"/>
              <w:spacing w:val="7"/>
              <w:kern w:val="0"/>
              <w:sz w:val="31"/>
              <w:szCs w:val="31"/>
              <w:highlight w:val="none"/>
              <w:lang w:val="en-US" w:eastAsia="en-US" w:bidi="ar-SA"/>
            </w:rPr>
            <w:t>25</w:t>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r>
            <w:rPr>
              <w:rFonts w:hint="eastAsia" w:ascii="Times New Roman" w:hAnsi="Times New Roman" w:eastAsia="方正黑体_GBK" w:cs="Times New Roman"/>
              <w:snapToGrid w:val="0"/>
              <w:color w:val="auto"/>
              <w:spacing w:val="7"/>
              <w:kern w:val="0"/>
              <w:sz w:val="31"/>
              <w:szCs w:val="31"/>
              <w:highlight w:val="none"/>
              <w:lang w:val="en-US" w:eastAsia="en-US" w:bidi="ar-SA"/>
            </w:rPr>
            <w:fldChar w:fldCharType="end"/>
          </w:r>
        </w:p>
        <w:p>
          <w:pPr>
            <w:keepNext w:val="0"/>
            <w:keepLines w:val="0"/>
            <w:pageBreakBefore w:val="0"/>
            <w:widowControl/>
            <w:kinsoku/>
            <w:wordWrap/>
            <w:overflowPunct w:val="0"/>
            <w:topLinePunct w:val="0"/>
            <w:bidi w:val="0"/>
            <w:spacing w:line="232" w:lineRule="auto"/>
            <w:jc w:val="both"/>
            <w:rPr>
              <w:rFonts w:hint="default" w:ascii="Times New Roman" w:hAnsi="Times New Roman" w:eastAsia="方正楷体_GBK" w:cs="Times New Roman"/>
              <w:color w:val="auto"/>
              <w:sz w:val="31"/>
              <w:szCs w:val="31"/>
              <w:highlight w:val="none"/>
            </w:rPr>
            <w:sectPr>
              <w:footerReference r:id="rId5" w:type="default"/>
              <w:pgSz w:w="11907" w:h="16839"/>
              <w:pgMar w:top="2098" w:right="1531" w:bottom="1531" w:left="1531" w:header="0" w:footer="1067" w:gutter="0"/>
              <w:pgBorders>
                <w:top w:val="none" w:sz="0" w:space="0"/>
                <w:left w:val="none" w:sz="0" w:space="0"/>
                <w:bottom w:val="none" w:sz="0" w:space="0"/>
                <w:right w:val="none" w:sz="0" w:space="0"/>
              </w:pgBorders>
              <w:pgNumType w:fmt="decimal" w:start="1"/>
              <w:cols w:space="720" w:num="1"/>
            </w:sectPr>
          </w:pPr>
          <w:r>
            <w:rPr>
              <w:rFonts w:hint="eastAsia" w:ascii="方正楷体_GBK" w:hAnsi="方正楷体_GBK" w:eastAsia="方正楷体_GBK" w:cs="方正楷体_GBK"/>
              <w:color w:val="auto"/>
              <w:sz w:val="28"/>
              <w:szCs w:val="28"/>
              <w:highlight w:val="none"/>
            </w:rPr>
            <w:fldChar w:fldCharType="end"/>
          </w:r>
        </w:p>
      </w:sdtContent>
    </w:sdt>
    <w:p>
      <w:pPr>
        <w:pStyle w:val="5"/>
        <w:keepNext w:val="0"/>
        <w:keepLines w:val="0"/>
        <w:pageBreakBefore w:val="0"/>
        <w:widowControl/>
        <w:kinsoku/>
        <w:wordWrap/>
        <w:overflowPunct w:val="0"/>
        <w:topLinePunct w:val="0"/>
        <w:bidi w:val="0"/>
        <w:spacing w:line="25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0288" behindDoc="1" locked="0" layoutInCell="1" allowOverlap="1">
                <wp:simplePos x="0" y="0"/>
                <wp:positionH relativeFrom="column">
                  <wp:posOffset>-14605</wp:posOffset>
                </wp:positionH>
                <wp:positionV relativeFrom="paragraph">
                  <wp:posOffset>47625</wp:posOffset>
                </wp:positionV>
                <wp:extent cx="7560945" cy="1800225"/>
                <wp:effectExtent l="0" t="0" r="1905" b="9525"/>
                <wp:wrapNone/>
                <wp:docPr id="4" name="Rect 4"/>
                <wp:cNvGraphicFramePr/>
                <a:graphic xmlns:a="http://schemas.openxmlformats.org/drawingml/2006/main">
                  <a:graphicData uri="http://schemas.microsoft.com/office/word/2010/wordprocessingShape">
                    <wps:wsp>
                      <wps:cNvSpPr/>
                      <wps:spPr>
                        <a:xfrm>
                          <a:off x="0" y="-39914"/>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rect id="Rect 4" o:spid="_x0000_s1026" o:spt="1" style="position:absolute;left:0pt;margin-left:-1.15pt;margin-top:3.75pt;height:141.75pt;width:595.35pt;z-index:-251656192;mso-width-relative:page;mso-height-relative:page;" fillcolor="#92D050" filled="t" stroked="f" coordsize="21600,21600" o:gfxdata="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NZpc/7XAAAACQEAAA8AAAAAAAAAAQAgAAAAOAAAAGRycy9k&#10;b3ducmV2LnhtbFBLAQIUABQAAAAIAIdO4kBkL7wBJgIAAEoEAAAOAAAAAAAAAAEAIAAAADwBAABk&#10;cnMvZTJvRG9jLnhtbFBLBQYAAAAABgAGAFkBAADUBQ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6" o:spid="_x0000_s1026" style="position:absolute;left:0pt;margin-left:9.65pt;margin-top:3.9pt;height:0.5pt;width:595.35pt;z-index:251661312;mso-width-relative:page;mso-height-relative:page;" filled="f" stroked="t" coordsize="11906,10" path="m11942,5l-227,5e">
            <v:fill on="f" focussize="0,0"/>
            <v:stroke weight="0.5pt" color="#000000" miterlimit="10" joinstyle="miter" endcap="round"/>
            <v:imagedata o:title=""/>
            <o:lock v:ext="edit"/>
          </v:shape>
        </w:pict>
      </w: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56"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190" w:line="232" w:lineRule="auto"/>
        <w:ind w:firstLine="708" w:firstLineChars="100"/>
        <w:jc w:val="both"/>
        <w:outlineLvl w:val="0"/>
        <w:rPr>
          <w:rFonts w:hint="eastAsia" w:ascii="方正黑体_GBK" w:hAnsi="方正黑体_GBK" w:eastAsia="方正黑体_GBK" w:cs="方正黑体_GBK"/>
          <w:color w:val="auto"/>
          <w:sz w:val="72"/>
          <w:szCs w:val="72"/>
          <w:highlight w:val="none"/>
          <w:lang w:eastAsia="zh-CN"/>
        </w:rPr>
        <w:sectPr>
          <w:footerReference r:id="rId6" w:type="default"/>
          <w:pgSz w:w="11907" w:h="16839"/>
          <w:pgMar w:top="1431" w:right="0" w:bottom="1434" w:left="0" w:header="0" w:footer="1067" w:gutter="0"/>
          <w:pgBorders>
            <w:top w:val="none" w:sz="0" w:space="0"/>
            <w:left w:val="none" w:sz="0" w:space="0"/>
            <w:bottom w:val="none" w:sz="0" w:space="0"/>
            <w:right w:val="none" w:sz="0" w:space="0"/>
          </w:pgBorders>
          <w:pgNumType w:fmt="decimal" w:start="1"/>
          <w:cols w:space="720" w:num="1"/>
        </w:sectPr>
      </w:pPr>
      <w:bookmarkStart w:id="1" w:name="_Toc509477910"/>
      <w:r>
        <w:rPr>
          <w:rFonts w:hint="eastAsia" w:ascii="方正黑体_GBK" w:hAnsi="方正黑体_GBK" w:eastAsia="方正黑体_GBK" w:cs="方正黑体_GBK"/>
          <w:color w:val="auto"/>
          <w:spacing w:val="-6"/>
          <w:sz w:val="72"/>
          <w:szCs w:val="72"/>
          <w:highlight w:val="none"/>
        </w:rPr>
        <w:t>第一部分</w:t>
      </w:r>
      <w:bookmarkEnd w:id="1"/>
      <w:bookmarkStart w:id="2" w:name="_Toc1863925695"/>
      <w:r>
        <w:rPr>
          <w:rFonts w:hint="eastAsia" w:ascii="方正黑体_GBK" w:hAnsi="方正黑体_GBK" w:eastAsia="方正黑体_GBK" w:cs="方正黑体_GBK"/>
          <w:color w:val="auto"/>
          <w:sz w:val="72"/>
          <w:szCs w:val="72"/>
          <w:highlight w:val="none"/>
        </w:rPr>
        <w:pict>
          <v:shape id="_x0000_s1027" o:spid="_x0000_s1027" style="position:absolute;left:0pt;margin-left:0.25pt;margin-top:104.7pt;height:0.5pt;width:595.35pt;z-index:251662336;mso-width-relative:page;mso-height-relative:page;" filled="f" stroked="t" coordsize="11906,10" path="m-227,5l11942,5e">
            <v:fill on="f" focussize="0,0"/>
            <v:stroke weight="0.5pt" color="#000000" miterlimit="10" joinstyle="miter" endcap="round"/>
            <v:imagedata o:title=""/>
            <o:lock v:ext="edit"/>
          </v:shape>
        </w:pict>
      </w:r>
      <w:bookmarkStart w:id="3" w:name="bookmark2"/>
      <w:bookmarkEnd w:id="3"/>
      <w:r>
        <w:rPr>
          <w:rFonts w:hint="eastAsia" w:ascii="方正黑体_GBK" w:hAnsi="方正黑体_GBK" w:eastAsia="方正黑体_GBK" w:cs="方正黑体_GBK"/>
          <w:color w:val="auto"/>
          <w:spacing w:val="-6"/>
          <w:sz w:val="72"/>
          <w:szCs w:val="72"/>
          <w:highlight w:val="none"/>
          <w:lang w:val="en-US" w:eastAsia="zh-CN"/>
        </w:rPr>
        <w:t xml:space="preserve">  </w:t>
      </w:r>
      <w:r>
        <w:rPr>
          <w:rFonts w:hint="eastAsia" w:ascii="方正黑体_GBK" w:hAnsi="方正黑体_GBK" w:eastAsia="方正黑体_GBK" w:cs="方正黑体_GBK"/>
          <w:color w:val="auto"/>
          <w:spacing w:val="-7"/>
          <w:sz w:val="72"/>
          <w:szCs w:val="72"/>
          <w:highlight w:val="none"/>
          <w:lang w:eastAsia="zh-CN"/>
        </w:rPr>
        <w:t>桂东县消防救援大队</w:t>
      </w:r>
      <w:r>
        <w:rPr>
          <w:rFonts w:hint="eastAsia" w:ascii="方正黑体_GBK" w:hAnsi="方正黑体_GBK" w:eastAsia="方正黑体_GBK" w:cs="方正黑体_GBK"/>
          <w:color w:val="auto"/>
          <w:spacing w:val="-7"/>
          <w:sz w:val="72"/>
          <w:szCs w:val="72"/>
          <w:highlight w:val="none"/>
        </w:rPr>
        <w:t>概</w:t>
      </w:r>
      <w:r>
        <w:rPr>
          <w:rFonts w:hint="eastAsia" w:ascii="方正黑体_GBK" w:hAnsi="方正黑体_GBK" w:eastAsia="方正黑体_GBK" w:cs="方正黑体_GBK"/>
          <w:color w:val="auto"/>
          <w:spacing w:val="-7"/>
          <w:sz w:val="72"/>
          <w:szCs w:val="72"/>
          <w:highlight w:val="none"/>
          <w:lang w:eastAsia="zh-CN"/>
        </w:rPr>
        <w:t>况</w:t>
      </w:r>
      <w:bookmarkEnd w:id="2"/>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黑体_GBK" w:hAnsi="方正黑体_GBK" w:eastAsia="方正黑体_GBK" w:cs="方正黑体_GBK"/>
          <w:sz w:val="32"/>
          <w:szCs w:val="32"/>
        </w:rPr>
      </w:pPr>
      <w:bookmarkStart w:id="4" w:name="_Toc241871418"/>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主要</w:t>
      </w:r>
      <w:r>
        <w:rPr>
          <w:rFonts w:hint="eastAsia" w:ascii="方正黑体_GBK" w:hAnsi="方正黑体_GBK" w:eastAsia="方正黑体_GBK" w:cs="方正黑体_GBK"/>
          <w:sz w:val="32"/>
          <w:szCs w:val="32"/>
        </w:rPr>
        <w:t>职责</w:t>
      </w:r>
      <w:bookmarkEnd w:id="4"/>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bookmarkStart w:id="5" w:name="_Toc727024387"/>
      <w:r>
        <w:rPr>
          <w:rFonts w:hint="eastAsia" w:ascii="方正仿宋_GBK" w:hAnsi="方正仿宋_GBK" w:eastAsia="方正仿宋_GBK" w:cs="方正仿宋_GBK"/>
          <w:sz w:val="32"/>
          <w:szCs w:val="32"/>
          <w:lang w:eastAsia="zh-CN"/>
        </w:rPr>
        <w:t>国家综合性消防救援队伍承担防范化解重大安全风险、应对处置各类灾害事故的重要职责，是应急救援的主力军和国家队。桂东县消防救援大队隶属郴州市消防救援支队，依据有关法律法规履行下列职责：</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（一）认真贯彻“预防为主，防消结合”的方针，严格执行国家和地方的各项消防法律、法规，负责本地区的消防监督、执勤灭火和队伍管理教育工作。</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（二）掌握本地消防工作动态，适时向政府报告工作，负责制定消防建设规划，不断改善公共消防设施条件。</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（三）组织开展消防安全教育和消防安全检查，督促整改火灾隐患。</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（四）负责消防救援队伍综合性消防救援预案编制、战术研究和执勤备战、训练演练等工作。</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（五）负责消防安全宣传教育，对社会消防力量开展建设及业务指导。</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（六）掌握消防安全重点单位的情况，指导消防站制定灭火预案，并适时进行演练，随时做好战斗准备，组织火灾扑救。</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（七）负责消防应急救援专业队伍规划、建设与调度指挥，参与组织协调动员各类社会救援力量参加救援任务。</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（八）负责消防救援队伍建设与管理加强管理教育，严格执行条例、条令和各项规章制度，培养队伍严明的纪律和良好的战斗作风，做好安全工作，预防各类事故的发生。</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outlineLvl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二、机构设置</w:t>
      </w:r>
      <w:bookmarkEnd w:id="5"/>
    </w:p>
    <w:p>
      <w:pPr>
        <w:keepNext w:val="0"/>
        <w:keepLines w:val="0"/>
        <w:pageBreakBefore w:val="0"/>
        <w:widowControl/>
        <w:kinsoku/>
        <w:wordWrap/>
        <w:overflowPunct w:val="0"/>
        <w:topLinePunct w:val="0"/>
        <w:autoSpaceDE w:val="0"/>
        <w:autoSpaceDN w:val="0"/>
        <w:bidi w:val="0"/>
        <w:adjustRightInd w:val="0"/>
        <w:snapToGrid w:val="0"/>
        <w:spacing w:line="600" w:lineRule="exact"/>
        <w:ind w:left="8" w:firstLine="639"/>
        <w:jc w:val="both"/>
        <w:textAlignment w:val="baseline"/>
        <w:rPr>
          <w:rFonts w:hint="default" w:ascii="Times New Roman" w:hAnsi="Times New Roman" w:eastAsia="方正仿宋_GBK" w:cs="Times New Roman"/>
          <w:color w:val="auto"/>
          <w:sz w:val="31"/>
          <w:szCs w:val="31"/>
          <w:highlight w:val="none"/>
        </w:rPr>
      </w:pPr>
      <w:r>
        <w:rPr>
          <w:rFonts w:hint="eastAsia" w:ascii="方正仿宋_GBK" w:hAnsi="方正仿宋_GBK" w:eastAsia="方正仿宋_GBK" w:cs="方正仿宋_GBK"/>
          <w:sz w:val="32"/>
          <w:szCs w:val="32"/>
          <w:lang w:eastAsia="zh-CN"/>
        </w:rPr>
        <w:t>桂东县消防救援大队含下属单位沤江消防救援站、沙田政府专职消防救援站。</w:t>
      </w:r>
    </w:p>
    <w:p>
      <w:pPr>
        <w:pStyle w:val="5"/>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sectPr>
          <w:footerReference r:id="rId7" w:type="default"/>
          <w:pgSz w:w="11907" w:h="16839"/>
          <w:pgMar w:top="2098" w:right="1531" w:bottom="1531" w:left="1531" w:header="0" w:footer="1070" w:gutter="0"/>
          <w:pgBorders>
            <w:top w:val="none" w:sz="0" w:space="0"/>
            <w:left w:val="none" w:sz="0" w:space="0"/>
            <w:bottom w:val="none" w:sz="0" w:space="0"/>
            <w:right w:val="none" w:sz="0" w:space="0"/>
          </w:pgBorders>
          <w:pgNumType w:fmt="decimal"/>
          <w:cols w:space="720" w:num="1"/>
        </w:sect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63360" behindDoc="1" locked="0" layoutInCell="1" allowOverlap="1">
                <wp:simplePos x="0" y="0"/>
                <wp:positionH relativeFrom="column">
                  <wp:posOffset>-22860</wp:posOffset>
                </wp:positionH>
                <wp:positionV relativeFrom="paragraph">
                  <wp:posOffset>27940</wp:posOffset>
                </wp:positionV>
                <wp:extent cx="7672070" cy="1800225"/>
                <wp:effectExtent l="0" t="0" r="5080" b="9525"/>
                <wp:wrapNone/>
                <wp:docPr id="6" name="Rect 6"/>
                <wp:cNvGraphicFramePr/>
                <a:graphic xmlns:a="http://schemas.openxmlformats.org/drawingml/2006/main">
                  <a:graphicData uri="http://schemas.microsoft.com/office/word/2010/wordprocessingShape">
                    <wps:wsp>
                      <wps:cNvSpPr/>
                      <wps:spPr>
                        <a:xfrm>
                          <a:off x="0" y="-40334"/>
                          <a:ext cx="767207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rect id="Rect 6" o:spid="_x0000_s1026" o:spt="1" style="position:absolute;left:0pt;margin-left:-1.8pt;margin-top:2.2pt;height:141.75pt;width:604.1pt;z-index:-251653120;mso-width-relative:page;mso-height-relative:page;" fillcolor="#92D050" filled="t" stroked="f" coordsize="21600,21600" o:gfxdata="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E5pyYvXAAAACQEAAA8AAAAAAAAAAQAgAAAAOAAAAGRycy9k&#10;b3ducmV2LnhtbFBLAQIUABQAAAAIAIdO4kBCqE/7JgIAAEoEAAAOAAAAAAAAAAEAIAAAADwBAABk&#10;cnMvZTJvRG9jLnhtbFBLBQYAAAAABgAGAFkBAADUBQ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w:pict>
          <v:shape id="_x0000_s1028" o:spid="_x0000_s1028" style="position:absolute;left:0pt;margin-left:3.05pt;margin-top:3.2pt;height:0.5pt;width:595.35pt;z-index:251665408;mso-width-relative:page;mso-height-relative:page;" filled="f" stroked="t" coordsize="11906,10" path="m11984,5l-290,5e">
            <v:fill on="f" focussize="0,0"/>
            <v:stroke weight="0.5pt" color="#000000" miterlimit="10" joinstyle="miter" endcap="round"/>
            <v:imagedata o:title=""/>
            <o:lock v:ext="edit"/>
          </v:shape>
        </w:pict>
      </w: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190" w:line="232" w:lineRule="auto"/>
        <w:ind w:firstLine="710" w:firstLineChars="100"/>
        <w:jc w:val="both"/>
        <w:outlineLvl w:val="0"/>
        <w:rPr>
          <w:rFonts w:hint="eastAsia" w:ascii="方正黑体_GBK" w:hAnsi="方正黑体_GBK" w:eastAsia="方正黑体_GBK" w:cs="方正黑体_GBK"/>
          <w:color w:val="auto"/>
          <w:sz w:val="72"/>
          <w:szCs w:val="72"/>
          <w:highlight w:val="none"/>
        </w:rPr>
      </w:pPr>
      <w:bookmarkStart w:id="6" w:name="bookmark32"/>
      <w:bookmarkEnd w:id="6"/>
      <w:bookmarkStart w:id="7" w:name="_Toc790115687"/>
      <w:r>
        <w:rPr>
          <w:rFonts w:hint="eastAsia" w:ascii="方正黑体_GBK" w:hAnsi="方正黑体_GBK" w:eastAsia="方正黑体_GBK" w:cs="方正黑体_GBK"/>
          <w:color w:val="auto"/>
          <w:spacing w:val="-5"/>
          <w:sz w:val="72"/>
          <w:szCs w:val="72"/>
          <w:highlight w:val="none"/>
        </w:rPr>
        <w:t>第二部分</w:t>
      </w:r>
      <w:bookmarkEnd w:id="7"/>
      <w:bookmarkStart w:id="8" w:name="_Toc1643600123"/>
      <w:r>
        <w:rPr>
          <w:rFonts w:hint="eastAsia" w:ascii="方正黑体_GBK" w:hAnsi="方正黑体_GBK" w:eastAsia="方正黑体_GBK" w:cs="方正黑体_GBK"/>
          <w:color w:val="auto"/>
          <w:sz w:val="72"/>
          <w:szCs w:val="72"/>
          <w:highlight w:val="none"/>
        </w:rPr>
        <w:pict>
          <v:shape id="_x0000_s1029" o:spid="_x0000_s1029" style="position:absolute;left:0pt;margin-left:0.25pt;margin-top:103.9pt;height:0.5pt;width:595.35pt;z-index:251664384;mso-width-relative:page;mso-height-relative:page;" filled="f" stroked="t" coordsize="11906,10" path="m-290,5l11984,5e">
            <v:fill on="f" focussize="0,0"/>
            <v:stroke weight="0.5pt" color="#000000" miterlimit="10" joinstyle="miter" endcap="round"/>
            <v:imagedata o:title=""/>
            <o:lock v:ext="edit"/>
          </v:shape>
        </w:pict>
      </w:r>
      <w:bookmarkStart w:id="9" w:name="bookmark5"/>
      <w:bookmarkEnd w:id="9"/>
      <w:r>
        <w:rPr>
          <w:rFonts w:hint="eastAsia" w:ascii="方正黑体_GBK" w:hAnsi="方正黑体_GBK" w:eastAsia="方正黑体_GBK" w:cs="方正黑体_GBK"/>
          <w:color w:val="auto"/>
          <w:sz w:val="72"/>
          <w:szCs w:val="72"/>
          <w:highlight w:val="none"/>
          <w:lang w:val="en-US" w:eastAsia="zh-CN"/>
        </w:rPr>
        <w:t xml:space="preserve">  </w:t>
      </w:r>
      <w:r>
        <w:rPr>
          <w:rFonts w:hint="eastAsia" w:ascii="方正黑体_GBK" w:hAnsi="方正黑体_GBK" w:eastAsia="方正黑体_GBK" w:cs="方正黑体_GBK"/>
          <w:color w:val="auto"/>
          <w:spacing w:val="-36"/>
          <w:sz w:val="72"/>
          <w:szCs w:val="72"/>
          <w:highlight w:val="none"/>
        </w:rPr>
        <w:t>202</w:t>
      </w:r>
      <w:r>
        <w:rPr>
          <w:rFonts w:hint="eastAsia" w:ascii="方正黑体_GBK" w:hAnsi="方正黑体_GBK" w:eastAsia="方正黑体_GBK" w:cs="方正黑体_GBK"/>
          <w:color w:val="auto"/>
          <w:spacing w:val="-36"/>
          <w:sz w:val="72"/>
          <w:szCs w:val="72"/>
          <w:highlight w:val="none"/>
          <w:lang w:val="en-US" w:eastAsia="zh-CN"/>
        </w:rPr>
        <w:t>5</w:t>
      </w:r>
      <w:r>
        <w:rPr>
          <w:rFonts w:hint="eastAsia" w:ascii="方正黑体_GBK" w:hAnsi="方正黑体_GBK" w:eastAsia="方正黑体_GBK" w:cs="方正黑体_GBK"/>
          <w:color w:val="auto"/>
          <w:spacing w:val="-36"/>
          <w:sz w:val="72"/>
          <w:szCs w:val="72"/>
          <w:highlight w:val="none"/>
        </w:rPr>
        <w:t>年度</w:t>
      </w:r>
      <w:r>
        <w:rPr>
          <w:rFonts w:hint="eastAsia" w:ascii="方正黑体_GBK" w:hAnsi="方正黑体_GBK" w:eastAsia="方正黑体_GBK" w:cs="方正黑体_GBK"/>
          <w:color w:val="auto"/>
          <w:spacing w:val="-36"/>
          <w:sz w:val="72"/>
          <w:szCs w:val="72"/>
          <w:highlight w:val="none"/>
          <w:lang w:eastAsia="zh-CN"/>
        </w:rPr>
        <w:t>经费</w:t>
      </w:r>
      <w:r>
        <w:rPr>
          <w:rFonts w:hint="eastAsia" w:ascii="方正黑体_GBK" w:hAnsi="方正黑体_GBK" w:eastAsia="方正黑体_GBK" w:cs="方正黑体_GBK"/>
          <w:color w:val="auto"/>
          <w:spacing w:val="-36"/>
          <w:sz w:val="72"/>
          <w:szCs w:val="72"/>
          <w:highlight w:val="none"/>
        </w:rPr>
        <w:t>决算表</w:t>
      </w:r>
      <w:bookmarkEnd w:id="8"/>
    </w:p>
    <w:p>
      <w:pPr>
        <w:keepNext w:val="0"/>
        <w:keepLines w:val="0"/>
        <w:pageBreakBefore w:val="0"/>
        <w:widowControl/>
        <w:kinsoku/>
        <w:wordWrap/>
        <w:overflowPunct w:val="0"/>
        <w:topLinePunct w:val="0"/>
        <w:bidi w:val="0"/>
        <w:spacing w:line="231" w:lineRule="auto"/>
        <w:jc w:val="both"/>
        <w:rPr>
          <w:rFonts w:hint="default" w:ascii="Times New Roman" w:hAnsi="Times New Roman" w:eastAsia="方正黑体_GBK" w:cs="Times New Roman"/>
          <w:color w:val="auto"/>
          <w:sz w:val="72"/>
          <w:szCs w:val="72"/>
          <w:highlight w:val="none"/>
        </w:rPr>
        <w:sectPr>
          <w:footerReference r:id="rId8"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tbl>
      <w:tblPr>
        <w:tblStyle w:val="11"/>
        <w:tblW w:w="93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6"/>
        <w:gridCol w:w="560"/>
        <w:gridCol w:w="1309"/>
        <w:gridCol w:w="2662"/>
        <w:gridCol w:w="545"/>
        <w:gridCol w:w="1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345"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eastAsia="方正小标宋_GBK" w:cs="Times New Roman"/>
                <w:snapToGrid w:val="0"/>
                <w:color w:val="auto"/>
                <w:sz w:val="30"/>
                <w:szCs w:val="30"/>
                <w:highlight w:val="none"/>
                <w:lang w:val="en-US" w:eastAsia="zh-CN" w:bidi="ar"/>
              </w:rPr>
              <w:br w:type="page"/>
            </w:r>
            <w:r>
              <w:rPr>
                <w:rStyle w:val="16"/>
                <w:rFonts w:hint="default" w:ascii="Times New Roman" w:hAnsi="Times New Roman" w:eastAsia="方正小标宋_GBK" w:cs="Times New Roman"/>
                <w:snapToGrid w:val="0"/>
                <w:color w:val="auto"/>
                <w:sz w:val="30"/>
                <w:szCs w:val="30"/>
                <w:highlight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556" w:type="dxa"/>
            <w:gridSpan w:val="2"/>
            <w:tcBorders>
              <w:top w:val="nil"/>
              <w:left w:val="nil"/>
              <w:bottom w:val="nil"/>
              <w:right w:val="nil"/>
            </w:tcBorders>
            <w:shd w:val="clear" w:color="auto" w:fill="FFFFFF" w:themeFill="background1"/>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309" w:type="dxa"/>
            <w:tcBorders>
              <w:top w:val="nil"/>
              <w:left w:val="nil"/>
              <w:bottom w:val="nil"/>
              <w:right w:val="nil"/>
            </w:tcBorders>
            <w:shd w:val="clear" w:color="auto" w:fill="FFFFFF" w:themeFill="background1"/>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lang w:val="en-US" w:eastAsia="zh-CN"/>
              </w:rPr>
            </w:pPr>
          </w:p>
        </w:tc>
        <w:tc>
          <w:tcPr>
            <w:tcW w:w="2662" w:type="dxa"/>
            <w:tcBorders>
              <w:top w:val="nil"/>
              <w:left w:val="nil"/>
              <w:bottom w:val="nil"/>
              <w:right w:val="nil"/>
            </w:tcBorders>
            <w:shd w:val="clear" w:color="auto" w:fill="FFFFFF" w:themeFill="background1"/>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45" w:type="dxa"/>
            <w:tcBorders>
              <w:top w:val="nil"/>
              <w:left w:val="nil"/>
              <w:bottom w:val="nil"/>
              <w:right w:val="nil"/>
            </w:tcBorders>
            <w:shd w:val="clear" w:color="auto" w:fill="FFFFFF" w:themeFill="background1"/>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273" w:type="dxa"/>
            <w:tcBorders>
              <w:top w:val="nil"/>
              <w:left w:val="nil"/>
              <w:bottom w:val="nil"/>
              <w:right w:val="nil"/>
            </w:tcBorders>
            <w:shd w:val="clear" w:color="auto" w:fill="FFFFFF" w:themeFill="background1"/>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公开</w:t>
            </w:r>
            <w:r>
              <w:rPr>
                <w:rStyle w:val="17"/>
                <w:rFonts w:hint="default" w:ascii="Times New Roman" w:hAnsi="Times New Roman" w:eastAsia="宋体" w:cs="Times New Roman"/>
                <w:snapToGrid w:val="0"/>
                <w:color w:val="auto"/>
                <w:highlight w:val="none"/>
                <w:lang w:val="en-US" w:eastAsia="zh-CN" w:bidi="ar"/>
              </w:rPr>
              <w:t>01</w:t>
            </w:r>
            <w:r>
              <w:rPr>
                <w:rStyle w:val="16"/>
                <w:rFonts w:hint="default" w:ascii="Times New Roman" w:hAnsi="Times New Roman" w:cs="Times New Roman"/>
                <w:snapToGrid w:val="0"/>
                <w:color w:val="auto"/>
                <w:highlight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部门：</w:t>
            </w:r>
            <w:r>
              <w:rPr>
                <w:rStyle w:val="16"/>
                <w:rFonts w:hint="eastAsia" w:ascii="Times New Roman" w:hAnsi="Times New Roman" w:cs="Times New Roman"/>
                <w:snapToGrid w:val="0"/>
                <w:color w:val="auto"/>
                <w:highlight w:val="none"/>
                <w:lang w:val="en-US" w:eastAsia="zh-CN" w:bidi="ar"/>
              </w:rPr>
              <w:t>桂东县消防救援大队</w:t>
            </w:r>
          </w:p>
        </w:tc>
        <w:tc>
          <w:tcPr>
            <w:tcW w:w="56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309" w:type="dxa"/>
            <w:tcBorders>
              <w:top w:val="nil"/>
              <w:left w:val="nil"/>
              <w:bottom w:val="nil"/>
              <w:right w:val="nil"/>
            </w:tcBorders>
            <w:shd w:val="clear" w:color="auto" w:fill="auto"/>
            <w:noWrap/>
            <w:vAlign w:val="center"/>
          </w:tcPr>
          <w:p>
            <w:pPr>
              <w:keepNext w:val="0"/>
              <w:keepLines w:val="0"/>
              <w:pageBreakBefore w:val="0"/>
              <w:widowControl/>
              <w:tabs>
                <w:tab w:val="center" w:pos="546"/>
              </w:tabs>
              <w:kinsoku/>
              <w:wordWrap/>
              <w:overflowPunct w:val="0"/>
              <w:topLinePunct w:val="0"/>
              <w:bidi w:val="0"/>
              <w:ind w:firstLine="320" w:firstLineChars="200"/>
              <w:jc w:val="both"/>
              <w:rPr>
                <w:rFonts w:hint="default" w:ascii="Times New Roman" w:hAnsi="Times New Roman" w:eastAsia="宋体" w:cs="Times New Roman"/>
                <w:i w:val="0"/>
                <w:iCs w:val="0"/>
                <w:color w:val="auto"/>
                <w:sz w:val="16"/>
                <w:szCs w:val="16"/>
                <w:highlight w:val="none"/>
                <w:u w:val="none"/>
                <w:lang w:val="en-US" w:eastAsia="zh-CN"/>
              </w:rPr>
            </w:pPr>
          </w:p>
        </w:tc>
        <w:tc>
          <w:tcPr>
            <w:tcW w:w="2662"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4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273"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8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收入</w:t>
            </w:r>
          </w:p>
        </w:tc>
        <w:tc>
          <w:tcPr>
            <w:tcW w:w="4480" w:type="dxa"/>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项目</w:t>
            </w:r>
          </w:p>
        </w:tc>
        <w:tc>
          <w:tcPr>
            <w:tcW w:w="560" w:type="dxa"/>
            <w:tcBorders>
              <w:top w:val="nil"/>
              <w:left w:val="nil"/>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行次</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决算数</w:t>
            </w:r>
          </w:p>
        </w:tc>
        <w:tc>
          <w:tcPr>
            <w:tcW w:w="26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tabs>
                <w:tab w:val="left" w:pos="433"/>
                <w:tab w:val="center" w:pos="1283"/>
              </w:tabs>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ab/>
            </w:r>
            <w:r>
              <w:rPr>
                <w:rStyle w:val="16"/>
                <w:rFonts w:hint="default" w:ascii="Times New Roman" w:hAnsi="Times New Roman" w:cs="Times New Roman"/>
                <w:snapToGrid w:val="0"/>
                <w:color w:val="auto"/>
                <w:highlight w:val="none"/>
                <w:lang w:val="en-US" w:eastAsia="zh-CN" w:bidi="ar"/>
              </w:rPr>
              <w:tab/>
            </w:r>
            <w:r>
              <w:rPr>
                <w:rStyle w:val="16"/>
                <w:rFonts w:hint="default" w:ascii="Times New Roman" w:hAnsi="Times New Roman" w:cs="Times New Roman"/>
                <w:snapToGrid w:val="0"/>
                <w:color w:val="auto"/>
                <w:highlight w:val="none"/>
                <w:lang w:val="en-US" w:eastAsia="zh-CN" w:bidi="ar"/>
              </w:rPr>
              <w:t>项目</w:t>
            </w:r>
          </w:p>
        </w:tc>
        <w:tc>
          <w:tcPr>
            <w:tcW w:w="545" w:type="dxa"/>
            <w:tcBorders>
              <w:top w:val="nil"/>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行次</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栏次</w:t>
            </w:r>
          </w:p>
        </w:tc>
        <w:tc>
          <w:tcPr>
            <w:tcW w:w="560" w:type="dxa"/>
            <w:tcBorders>
              <w:top w:val="nil"/>
              <w:left w:val="nil"/>
              <w:bottom w:val="single" w:color="000000"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26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栏次</w:t>
            </w:r>
          </w:p>
        </w:tc>
        <w:tc>
          <w:tcPr>
            <w:tcW w:w="545" w:type="dxa"/>
            <w:tcBorders>
              <w:top w:val="nil"/>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一、一般公共预算财政拨款收入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1309"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48.24</w:t>
            </w:r>
          </w:p>
        </w:tc>
        <w:tc>
          <w:tcPr>
            <w:tcW w:w="2662"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一、一般公共服务支出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31</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二、政府性基金预算财政拨款收入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二、外交支出</w:t>
            </w:r>
            <w:r>
              <w:rPr>
                <w:rStyle w:val="17"/>
                <w:rFonts w:hint="default" w:ascii="Times New Roman" w:hAnsi="Times New Roman" w:eastAsia="宋体" w:cs="Times New Roman"/>
                <w:snapToGrid w:val="0"/>
                <w:color w:val="auto"/>
                <w:highlight w:val="none"/>
                <w:lang w:val="en-US" w:eastAsia="zh-CN" w:bidi="ar"/>
              </w:rPr>
              <w:t xml:space="preserve"> </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32</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三、国有资本经营预算财政拨款收入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三、国防支出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33</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四、上级补助收入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四、公共安全支出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34</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五、事业收入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五、教育支出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35</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六、经营收入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六、科学技术支出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36</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七、附属单位上缴收入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七、文化旅游体育与传媒支出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37</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八、其他收入</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8</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1,043.29</w:t>
            </w: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八、社会保障和就业支出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38</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9</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九、卫生健康支出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39</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10</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十、节能环保支出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40</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11</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十一、城乡社区支出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41</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12</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十二、农林水支出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42</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13</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十三、交通运输支出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43</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14</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十四、资源勘探工业信息等支出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44</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15</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十五、商业服务业等支出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45</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16</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十六、金融支出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46</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17</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十七、援助其他地区支出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47</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18</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十八、自然资源海洋气象等支出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48</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19</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十九、住房保障支出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49</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20</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二十、粮油物资储备支出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50</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21</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二十一、国有资本经营预算支出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51</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22</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二十二、灾害防治及应急管理支出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52</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snapToGrid w:val="0"/>
                <w:color w:val="000000"/>
                <w:kern w:val="0"/>
                <w:sz w:val="16"/>
                <w:szCs w:val="16"/>
                <w:u w:val="none"/>
                <w:lang w:val="en-US" w:eastAsia="zh-CN" w:bidi="ar"/>
              </w:rPr>
            </w:pPr>
            <w:r>
              <w:rPr>
                <w:rFonts w:hint="eastAsia" w:ascii="Times New Roman" w:hAnsi="Times New Roman" w:eastAsia="宋体" w:cs="Times New Roman"/>
                <w:i w:val="0"/>
                <w:iCs w:val="0"/>
                <w:snapToGrid w:val="0"/>
                <w:color w:val="000000"/>
                <w:kern w:val="0"/>
                <w:sz w:val="16"/>
                <w:szCs w:val="16"/>
                <w:u w:val="none"/>
                <w:lang w:val="en-US" w:eastAsia="zh-CN" w:bidi="ar"/>
              </w:rPr>
              <w:t>1,105.97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23</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二十三、其他支出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53</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snapToGrid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24</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二十四、债务还本支出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54</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25</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二十五、债务付息支出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55</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26</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二十六、抗疫特别国债安排的支出</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56</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本年收入合计</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27</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1,091.53</w:t>
            </w: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cs="Times New Roman"/>
                <w:snapToGrid w:val="0"/>
                <w:color w:val="auto"/>
                <w:highlight w:val="none"/>
                <w:lang w:val="en-US" w:eastAsia="zh-CN" w:bidi="ar"/>
              </w:rPr>
              <w:t>本年支出合计</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57</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1,159.58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r>
              <w:rPr>
                <w:rStyle w:val="16"/>
                <w:rFonts w:hint="default" w:ascii="Times New Roman" w:hAnsi="Times New Roman" w:cs="Times New Roman"/>
                <w:snapToGrid w:val="0"/>
                <w:color w:val="auto"/>
                <w:highlight w:val="none"/>
                <w:lang w:val="en-US" w:eastAsia="zh-CN" w:bidi="ar"/>
              </w:rPr>
              <w:t>使用非财政拨款结余（含专用结余）</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28</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r>
              <w:rPr>
                <w:rStyle w:val="16"/>
                <w:rFonts w:hint="default" w:ascii="Times New Roman" w:hAnsi="Times New Roman" w:cs="Times New Roman"/>
                <w:snapToGrid w:val="0"/>
                <w:color w:val="auto"/>
                <w:highlight w:val="none"/>
                <w:lang w:val="en-US" w:eastAsia="zh-CN" w:bidi="ar"/>
              </w:rPr>
              <w:t>结余分配</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58</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 xml:space="preserve">   </w:t>
            </w:r>
            <w:r>
              <w:rPr>
                <w:rStyle w:val="18"/>
                <w:rFonts w:hint="default" w:ascii="Times New Roman" w:hAnsi="Times New Roman" w:cs="Times New Roman"/>
                <w:snapToGrid w:val="0"/>
                <w:color w:val="auto"/>
                <w:highlight w:val="none"/>
                <w:lang w:val="en-US" w:eastAsia="zh-CN" w:bidi="ar"/>
              </w:rPr>
              <w:t>年初结转和结余</w:t>
            </w:r>
            <w:r>
              <w:rPr>
                <w:rStyle w:val="19"/>
                <w:rFonts w:hint="default" w:ascii="Times New Roman" w:hAnsi="Times New Roman" w:eastAsia="宋体" w:cs="Times New Roman"/>
                <w:snapToGrid w:val="0"/>
                <w:color w:val="auto"/>
                <w:highlight w:val="none"/>
                <w:lang w:val="en-US" w:eastAsia="zh-CN" w:bidi="ar"/>
              </w:rPr>
              <w:t xml:space="preserve"> </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29</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316.02</w:t>
            </w: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 xml:space="preserve">    </w:t>
            </w:r>
            <w:r>
              <w:rPr>
                <w:rStyle w:val="18"/>
                <w:rFonts w:hint="default" w:ascii="Times New Roman" w:hAnsi="Times New Roman" w:cs="Times New Roman"/>
                <w:snapToGrid w:val="0"/>
                <w:color w:val="auto"/>
                <w:highlight w:val="none"/>
                <w:lang w:val="en-US" w:eastAsia="zh-CN" w:bidi="ar"/>
              </w:rPr>
              <w:t>年末结转和结余</w:t>
            </w:r>
            <w:r>
              <w:rPr>
                <w:rStyle w:val="19"/>
                <w:rFonts w:hint="default" w:ascii="Times New Roman" w:hAnsi="Times New Roman" w:eastAsia="宋体" w:cs="Times New Roman"/>
                <w:snapToGrid w:val="0"/>
                <w:color w:val="auto"/>
                <w:highlight w:val="none"/>
                <w:lang w:val="en-US" w:eastAsia="zh-CN" w:bidi="ar"/>
              </w:rPr>
              <w:t xml:space="preserve"> </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auto"/>
                <w:kern w:val="0"/>
                <w:sz w:val="18"/>
                <w:szCs w:val="18"/>
                <w:highlight w:val="none"/>
                <w:u w:val="none"/>
                <w:lang w:val="en-US" w:eastAsia="zh-CN" w:bidi="ar"/>
              </w:rPr>
              <w:t>59</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247.96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99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8"/>
                <w:szCs w:val="18"/>
                <w:highlight w:val="none"/>
                <w:u w:val="none"/>
              </w:rPr>
            </w:pPr>
            <w:r>
              <w:rPr>
                <w:rStyle w:val="18"/>
                <w:rFonts w:hint="default" w:ascii="Times New Roman" w:hAnsi="Times New Roman" w:cs="Times New Roman"/>
                <w:b/>
                <w:bCs/>
                <w:snapToGrid w:val="0"/>
                <w:color w:val="auto"/>
                <w:highlight w:val="none"/>
                <w:lang w:val="en-US" w:eastAsia="zh-CN" w:bidi="ar"/>
              </w:rPr>
              <w:t>总计</w:t>
            </w:r>
          </w:p>
        </w:tc>
        <w:tc>
          <w:tcPr>
            <w:tcW w:w="5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snapToGrid w:val="0"/>
                <w:color w:val="auto"/>
                <w:kern w:val="0"/>
                <w:sz w:val="18"/>
                <w:szCs w:val="18"/>
                <w:highlight w:val="none"/>
                <w:u w:val="none"/>
                <w:lang w:val="en-US" w:eastAsia="zh-CN" w:bidi="ar"/>
              </w:rPr>
              <w:t>30</w:t>
            </w:r>
          </w:p>
        </w:tc>
        <w:tc>
          <w:tcPr>
            <w:tcW w:w="130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1,407.55</w:t>
            </w:r>
          </w:p>
        </w:tc>
        <w:tc>
          <w:tcPr>
            <w:tcW w:w="266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8"/>
                <w:szCs w:val="18"/>
                <w:highlight w:val="none"/>
                <w:u w:val="none"/>
              </w:rPr>
            </w:pPr>
            <w:r>
              <w:rPr>
                <w:rStyle w:val="18"/>
                <w:rFonts w:hint="default" w:ascii="Times New Roman" w:hAnsi="Times New Roman" w:cs="Times New Roman"/>
                <w:b/>
                <w:bCs/>
                <w:snapToGrid w:val="0"/>
                <w:color w:val="auto"/>
                <w:highlight w:val="none"/>
                <w:lang w:val="en-US" w:eastAsia="zh-CN" w:bidi="ar"/>
              </w:rPr>
              <w:t>总计</w:t>
            </w:r>
          </w:p>
        </w:tc>
        <w:tc>
          <w:tcPr>
            <w:tcW w:w="54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snapToGrid w:val="0"/>
                <w:color w:val="auto"/>
                <w:kern w:val="0"/>
                <w:sz w:val="18"/>
                <w:szCs w:val="18"/>
                <w:highlight w:val="none"/>
                <w:u w:val="none"/>
                <w:lang w:val="en-US" w:eastAsia="zh-CN" w:bidi="ar"/>
              </w:rPr>
              <w:t>60</w:t>
            </w:r>
          </w:p>
        </w:tc>
        <w:tc>
          <w:tcPr>
            <w:tcW w:w="1273"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1,407.55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345"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注：1.本表反映</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部门</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345"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2.本套报表金额单位转换时可能存在尾数误差。</w:t>
            </w:r>
          </w:p>
        </w:tc>
      </w:tr>
    </w:tbl>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tbl>
      <w:tblPr>
        <w:tblStyle w:val="11"/>
        <w:tblW w:w="95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2"/>
        <w:gridCol w:w="2040"/>
        <w:gridCol w:w="1170"/>
        <w:gridCol w:w="1069"/>
        <w:gridCol w:w="751"/>
        <w:gridCol w:w="840"/>
        <w:gridCol w:w="720"/>
        <w:gridCol w:w="860"/>
        <w:gridCol w:w="10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jc w:val="center"/>
        </w:trPr>
        <w:tc>
          <w:tcPr>
            <w:tcW w:w="9512"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Style w:val="16"/>
                <w:rFonts w:hint="default" w:ascii="Times New Roman" w:hAnsi="Times New Roman" w:eastAsia="方正小标宋_GBK" w:cs="Times New Roman"/>
                <w:snapToGrid w:val="0"/>
                <w:color w:val="auto"/>
                <w:sz w:val="30"/>
                <w:szCs w:val="30"/>
                <w:highlight w:val="none"/>
                <w:lang w:val="en-US" w:eastAsia="zh-CN" w:bidi="ar"/>
              </w:rPr>
            </w:pPr>
            <w:r>
              <w:rPr>
                <w:rStyle w:val="16"/>
                <w:rFonts w:hint="default" w:ascii="Times New Roman" w:hAnsi="Times New Roman" w:eastAsia="方正小标宋_GBK" w:cs="Times New Roman"/>
                <w:snapToGrid w:val="0"/>
                <w:color w:val="auto"/>
                <w:sz w:val="30"/>
                <w:szCs w:val="30"/>
                <w:highlight w:val="none"/>
                <w:lang w:val="en-US" w:eastAsia="zh-CN" w:bidi="ar"/>
              </w:rPr>
              <w:t>收入决算表</w:t>
            </w:r>
          </w:p>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5251"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rPr>
            </w:pPr>
          </w:p>
        </w:tc>
        <w:tc>
          <w:tcPr>
            <w:tcW w:w="751"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5251"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桂东县消防救援大队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                                                                 </w:t>
            </w:r>
          </w:p>
        </w:tc>
        <w:tc>
          <w:tcPr>
            <w:tcW w:w="751"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lang w:val="en-US" w:eastAsia="zh-CN"/>
              </w:rPr>
            </w:pPr>
          </w:p>
        </w:tc>
        <w:tc>
          <w:tcPr>
            <w:tcW w:w="84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30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项目</w:t>
            </w:r>
          </w:p>
        </w:tc>
        <w:tc>
          <w:tcPr>
            <w:tcW w:w="117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本年收入 合计</w:t>
            </w:r>
          </w:p>
        </w:tc>
        <w:tc>
          <w:tcPr>
            <w:tcW w:w="1069"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财政拨款收入 </w:t>
            </w:r>
          </w:p>
        </w:tc>
        <w:tc>
          <w:tcPr>
            <w:tcW w:w="75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上级补助收入</w:t>
            </w:r>
          </w:p>
        </w:tc>
        <w:tc>
          <w:tcPr>
            <w:tcW w:w="84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事业收入</w:t>
            </w:r>
          </w:p>
        </w:tc>
        <w:tc>
          <w:tcPr>
            <w:tcW w:w="72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经营 收入</w:t>
            </w:r>
          </w:p>
        </w:tc>
        <w:tc>
          <w:tcPr>
            <w:tcW w:w="86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附属单位上缴收入</w:t>
            </w:r>
          </w:p>
        </w:tc>
        <w:tc>
          <w:tcPr>
            <w:tcW w:w="109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72"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科目代码</w:t>
            </w:r>
          </w:p>
        </w:tc>
        <w:tc>
          <w:tcPr>
            <w:tcW w:w="204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科目名称</w:t>
            </w:r>
          </w:p>
        </w:tc>
        <w:tc>
          <w:tcPr>
            <w:tcW w:w="117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72"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04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17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69"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51"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3012"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栏次</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3012"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auto"/>
                <w:kern w:val="0"/>
                <w:sz w:val="16"/>
                <w:szCs w:val="16"/>
                <w:highlight w:val="none"/>
                <w:u w:val="none"/>
                <w:lang w:val="en-US" w:eastAsia="zh-CN" w:bidi="ar"/>
              </w:rPr>
              <w:t>合计</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w:t>
            </w:r>
            <w:r>
              <w:rPr>
                <w:rFonts w:hint="eastAsia" w:ascii="Times New Roman" w:hAnsi="Times New Roman" w:eastAsia="宋体" w:cs="Times New Roman"/>
                <w:b/>
                <w:bCs/>
                <w:i w:val="0"/>
                <w:iCs w:val="0"/>
                <w:color w:val="auto"/>
                <w:sz w:val="16"/>
                <w:szCs w:val="16"/>
                <w:highlight w:val="none"/>
                <w:u w:val="none"/>
                <w:lang w:val="en-US" w:eastAsia="zh-CN"/>
              </w:rPr>
              <w:t>,</w:t>
            </w:r>
            <w:r>
              <w:rPr>
                <w:rFonts w:hint="default" w:ascii="Times New Roman" w:hAnsi="Times New Roman" w:eastAsia="宋体" w:cs="Times New Roman"/>
                <w:b/>
                <w:bCs/>
                <w:i w:val="0"/>
                <w:iCs w:val="0"/>
                <w:color w:val="auto"/>
                <w:sz w:val="16"/>
                <w:szCs w:val="16"/>
                <w:highlight w:val="none"/>
                <w:u w:val="none"/>
              </w:rPr>
              <w:t>091.53</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48.24</w:t>
            </w: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1,043.29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208</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14.68</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14.68</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2080505</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9.79</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9.79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2080506</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4.89</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210</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28.12</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28.12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28.12</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28.12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2101101</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22.05</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22.05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2101199</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6.08</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221</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10.81</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10.81</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2210201</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10.81</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224</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1</w:t>
            </w:r>
            <w:r>
              <w:rPr>
                <w:rFonts w:hint="eastAsia" w:ascii="Times New Roman" w:hAnsi="Times New Roman" w:eastAsia="宋体" w:cs="Times New Roman"/>
                <w:b/>
                <w:bCs/>
                <w:i w:val="0"/>
                <w:iCs w:val="0"/>
                <w:color w:val="auto"/>
                <w:sz w:val="16"/>
                <w:szCs w:val="16"/>
                <w:highlight w:val="none"/>
                <w:u w:val="none"/>
                <w:lang w:val="en-US" w:eastAsia="zh-CN"/>
              </w:rPr>
              <w:t>,</w:t>
            </w:r>
            <w:r>
              <w:rPr>
                <w:rFonts w:hint="default" w:ascii="Times New Roman" w:hAnsi="Times New Roman" w:eastAsia="宋体" w:cs="Times New Roman"/>
                <w:b/>
                <w:bCs/>
                <w:i w:val="0"/>
                <w:iCs w:val="0"/>
                <w:color w:val="auto"/>
                <w:sz w:val="16"/>
                <w:szCs w:val="16"/>
                <w:highlight w:val="none"/>
                <w:u w:val="none"/>
              </w:rPr>
              <w:t>037.92</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default" w:ascii="Times New Roman" w:hAnsi="Times New Roman" w:eastAsia="宋体" w:cs="Times New Roman"/>
                <w:b/>
                <w:bCs/>
                <w:i w:val="0"/>
                <w:iCs w:val="0"/>
                <w:color w:val="auto"/>
                <w:sz w:val="16"/>
                <w:szCs w:val="16"/>
                <w:highlight w:val="none"/>
                <w:u w:val="none"/>
              </w:rPr>
              <w:t>989.68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1</w:t>
            </w:r>
            <w:r>
              <w:rPr>
                <w:rFonts w:hint="eastAsia" w:ascii="Times New Roman" w:hAnsi="Times New Roman" w:eastAsia="宋体" w:cs="Times New Roman"/>
                <w:i w:val="0"/>
                <w:iCs w:val="0"/>
                <w:color w:val="auto"/>
                <w:sz w:val="16"/>
                <w:szCs w:val="16"/>
                <w:highlight w:val="none"/>
                <w:u w:val="none"/>
                <w:lang w:val="en-US" w:eastAsia="zh-CN"/>
              </w:rPr>
              <w:t>,</w:t>
            </w:r>
            <w:r>
              <w:rPr>
                <w:rFonts w:hint="default" w:ascii="Times New Roman" w:hAnsi="Times New Roman" w:eastAsia="宋体" w:cs="Times New Roman"/>
                <w:i w:val="0"/>
                <w:iCs w:val="0"/>
                <w:color w:val="auto"/>
                <w:sz w:val="16"/>
                <w:szCs w:val="16"/>
                <w:highlight w:val="none"/>
                <w:u w:val="none"/>
              </w:rPr>
              <w:t>037.92</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48.24</w:t>
            </w: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989.68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2240201</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518.31</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Times New Roman" w:hAnsi="Times New Roman" w:eastAsia="宋体" w:cs="Times New Roman"/>
                <w:i w:val="0"/>
                <w:iCs w:val="0"/>
                <w:color w:val="auto"/>
                <w:sz w:val="16"/>
                <w:szCs w:val="16"/>
                <w:highlight w:val="none"/>
                <w:u w:val="none"/>
                <w:lang w:val="en-US" w:eastAsia="zh-CN"/>
              </w:rPr>
            </w:pPr>
            <w:r>
              <w:rPr>
                <w:rFonts w:hint="default" w:ascii="Times New Roman" w:hAnsi="Times New Roman" w:eastAsia="宋体" w:cs="Times New Roman"/>
                <w:i w:val="0"/>
                <w:iCs w:val="0"/>
                <w:color w:val="auto"/>
                <w:sz w:val="16"/>
                <w:szCs w:val="16"/>
                <w:highlight w:val="none"/>
                <w:u w:val="none"/>
              </w:rPr>
              <w:t>15.5</w:t>
            </w:r>
            <w:r>
              <w:rPr>
                <w:rFonts w:hint="eastAsia" w:ascii="Times New Roman" w:hAnsi="Times New Roman" w:eastAsia="宋体" w:cs="Times New Roman"/>
                <w:i w:val="0"/>
                <w:iCs w:val="0"/>
                <w:color w:val="auto"/>
                <w:sz w:val="16"/>
                <w:szCs w:val="16"/>
                <w:highlight w:val="none"/>
                <w:u w:val="none"/>
                <w:lang w:val="en-US" w:eastAsia="zh-CN"/>
              </w:rPr>
              <w:t>0</w:t>
            </w: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502.81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972"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2240204</w:t>
            </w:r>
          </w:p>
        </w:tc>
        <w:tc>
          <w:tcPr>
            <w:tcW w:w="20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11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519.61</w:t>
            </w:r>
          </w:p>
        </w:tc>
        <w:tc>
          <w:tcPr>
            <w:tcW w:w="1069"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32.74</w:t>
            </w:r>
          </w:p>
        </w:tc>
        <w:tc>
          <w:tcPr>
            <w:tcW w:w="751"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4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09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color w:val="auto"/>
                <w:sz w:val="16"/>
                <w:szCs w:val="16"/>
                <w:highlight w:val="none"/>
                <w:u w:val="none"/>
              </w:rPr>
              <w:t>486.87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12"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部门</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本年度取得的各项收入情况。</w:t>
            </w:r>
          </w:p>
        </w:tc>
      </w:tr>
    </w:tbl>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ab/>
      </w: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kinsoku/>
        <w:wordWrap/>
        <w:overflowPunct w:val="0"/>
        <w:topLinePunct w:val="0"/>
        <w:bidi w:val="0"/>
        <w:jc w:val="both"/>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br w:type="page"/>
      </w:r>
    </w:p>
    <w:tbl>
      <w:tblPr>
        <w:tblStyle w:val="11"/>
        <w:tblW w:w="96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6"/>
        <w:gridCol w:w="285"/>
        <w:gridCol w:w="408"/>
        <w:gridCol w:w="136"/>
        <w:gridCol w:w="2796"/>
        <w:gridCol w:w="29"/>
        <w:gridCol w:w="1366"/>
        <w:gridCol w:w="29"/>
        <w:gridCol w:w="1011"/>
        <w:gridCol w:w="29"/>
        <w:gridCol w:w="1011"/>
        <w:gridCol w:w="29"/>
        <w:gridCol w:w="673"/>
        <w:gridCol w:w="29"/>
        <w:gridCol w:w="673"/>
        <w:gridCol w:w="877"/>
        <w:gridCol w:w="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62" w:hRule="atLeast"/>
          <w:jc w:val="center"/>
        </w:trPr>
        <w:tc>
          <w:tcPr>
            <w:tcW w:w="9617" w:type="dxa"/>
            <w:gridSpan w:val="1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i w:val="0"/>
                <w:iCs w:val="0"/>
                <w:color w:val="000000"/>
                <w:sz w:val="30"/>
                <w:szCs w:val="30"/>
                <w:u w:val="none"/>
              </w:rPr>
            </w:pPr>
            <w:r>
              <w:rPr>
                <w:rStyle w:val="16"/>
                <w:rFonts w:hint="eastAsia" w:ascii="Times New Roman" w:hAnsi="Times New Roman" w:eastAsia="方正小标宋_GBK" w:cs="Times New Roman"/>
                <w:snapToGrid w:val="0"/>
                <w:color w:val="auto"/>
                <w:sz w:val="30"/>
                <w:szCs w:val="30"/>
                <w:highlight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jc w:val="center"/>
        </w:trPr>
        <w:tc>
          <w:tcPr>
            <w:tcW w:w="236"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28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408"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2961" w:type="dxa"/>
            <w:gridSpan w:val="3"/>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1395"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104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104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1579"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公开</w:t>
            </w:r>
            <w:r>
              <w:rPr>
                <w:rFonts w:hint="default" w:ascii="Times New Roman" w:hAnsi="Times New Roman" w:eastAsia="宋体" w:cs="Times New Roman"/>
                <w:i w:val="0"/>
                <w:iCs w:val="0"/>
                <w:snapToGrid w:val="0"/>
                <w:color w:val="000000"/>
                <w:kern w:val="0"/>
                <w:sz w:val="16"/>
                <w:szCs w:val="16"/>
                <w:u w:val="none"/>
                <w:lang w:val="en-US" w:eastAsia="zh-CN" w:bidi="ar"/>
              </w:rPr>
              <w:t>03</w:t>
            </w:r>
            <w:r>
              <w:rPr>
                <w:rStyle w:val="23"/>
                <w:snapToGrid w:val="0"/>
                <w:color w:val="000000"/>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279" w:hRule="atLeast"/>
          <w:jc w:val="center"/>
        </w:trPr>
        <w:tc>
          <w:tcPr>
            <w:tcW w:w="5256" w:type="dxa"/>
            <w:gridSpan w:val="7"/>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部门：</w:t>
            </w:r>
            <w:r>
              <w:rPr>
                <w:rStyle w:val="23"/>
                <w:snapToGrid w:val="0"/>
                <w:color w:val="000000"/>
                <w:lang w:val="en-US" w:eastAsia="zh-CN" w:bidi="ar"/>
              </w:rPr>
              <w:t>桂东县消防救援大队</w:t>
            </w:r>
          </w:p>
        </w:tc>
        <w:tc>
          <w:tcPr>
            <w:tcW w:w="104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1040"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1579"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297" w:hRule="atLeast"/>
          <w:jc w:val="center"/>
        </w:trPr>
        <w:tc>
          <w:tcPr>
            <w:tcW w:w="3861"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w:t>
            </w:r>
          </w:p>
        </w:tc>
        <w:tc>
          <w:tcPr>
            <w:tcW w:w="1395" w:type="dxa"/>
            <w:gridSpan w:val="2"/>
            <w:vMerge w:val="restart"/>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本年支出</w:t>
            </w:r>
            <w:r>
              <w:rPr>
                <w:rFonts w:hint="default" w:ascii="Times New Roman" w:hAnsi="Times New Roman" w:eastAsia="宋体" w:cs="Times New Roman"/>
                <w:i w:val="0"/>
                <w:iCs w:val="0"/>
                <w:snapToGrid w:val="0"/>
                <w:color w:val="000000"/>
                <w:kern w:val="0"/>
                <w:sz w:val="16"/>
                <w:szCs w:val="16"/>
                <w:u w:val="none"/>
                <w:lang w:val="en-US" w:eastAsia="zh-CN" w:bidi="ar"/>
              </w:rPr>
              <w:t xml:space="preserve">  </w:t>
            </w:r>
            <w:r>
              <w:rPr>
                <w:rStyle w:val="23"/>
                <w:snapToGrid w:val="0"/>
                <w:color w:val="000000"/>
                <w:lang w:val="en-US" w:eastAsia="zh-CN" w:bidi="ar"/>
              </w:rPr>
              <w:t>合计</w:t>
            </w:r>
          </w:p>
        </w:tc>
        <w:tc>
          <w:tcPr>
            <w:tcW w:w="1040" w:type="dxa"/>
            <w:gridSpan w:val="2"/>
            <w:vMerge w:val="restart"/>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基本支出</w:t>
            </w:r>
          </w:p>
        </w:tc>
        <w:tc>
          <w:tcPr>
            <w:tcW w:w="1040" w:type="dxa"/>
            <w:gridSpan w:val="2"/>
            <w:vMerge w:val="restart"/>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项目支出</w:t>
            </w:r>
          </w:p>
        </w:tc>
        <w:tc>
          <w:tcPr>
            <w:tcW w:w="702" w:type="dxa"/>
            <w:gridSpan w:val="2"/>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上缴上级</w:t>
            </w:r>
            <w:r>
              <w:rPr>
                <w:rStyle w:val="23"/>
                <w:snapToGrid w:val="0"/>
                <w:color w:val="000000"/>
                <w:lang w:val="en-US" w:eastAsia="zh-CN" w:bidi="ar"/>
              </w:rPr>
              <w:t>支出</w:t>
            </w:r>
          </w:p>
        </w:tc>
        <w:tc>
          <w:tcPr>
            <w:tcW w:w="702" w:type="dxa"/>
            <w:gridSpan w:val="2"/>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经营支出</w:t>
            </w:r>
          </w:p>
        </w:tc>
        <w:tc>
          <w:tcPr>
            <w:tcW w:w="877" w:type="dxa"/>
            <w:vMerge w:val="restar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12" w:hRule="atLeast"/>
          <w:jc w:val="center"/>
        </w:trPr>
        <w:tc>
          <w:tcPr>
            <w:tcW w:w="1065" w:type="dxa"/>
            <w:gridSpan w:val="4"/>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科目代码</w:t>
            </w:r>
          </w:p>
        </w:tc>
        <w:tc>
          <w:tcPr>
            <w:tcW w:w="2796"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科目名称</w:t>
            </w:r>
          </w:p>
        </w:tc>
        <w:tc>
          <w:tcPr>
            <w:tcW w:w="1395"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877" w:type="dxa"/>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12" w:hRule="atLeast"/>
          <w:jc w:val="center"/>
        </w:trPr>
        <w:tc>
          <w:tcPr>
            <w:tcW w:w="1065" w:type="dxa"/>
            <w:gridSpan w:val="4"/>
            <w:vMerge w:val="continue"/>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2796"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1395"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1040" w:type="dxa"/>
            <w:gridSpan w:val="2"/>
            <w:vMerge w:val="continue"/>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702" w:type="dxa"/>
            <w:gridSpan w:val="2"/>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c>
          <w:tcPr>
            <w:tcW w:w="877" w:type="dxa"/>
            <w:vMerge w:val="continue"/>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297" w:hRule="atLeast"/>
          <w:jc w:val="center"/>
        </w:trPr>
        <w:tc>
          <w:tcPr>
            <w:tcW w:w="3861" w:type="dxa"/>
            <w:gridSpan w:val="5"/>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栏次</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1</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3</w:t>
            </w: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4</w:t>
            </w: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5</w:t>
            </w: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3861" w:type="dxa"/>
            <w:gridSpan w:val="5"/>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合计</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Times New Roman" w:hAnsi="Times New Roman" w:eastAsia="宋体" w:cs="Times New Roman"/>
                <w:b/>
                <w:bCs/>
                <w:i w:val="0"/>
                <w:iCs w:val="0"/>
                <w:color w:val="auto"/>
                <w:sz w:val="16"/>
                <w:szCs w:val="16"/>
                <w:highlight w:val="none"/>
                <w:u w:val="none"/>
                <w:lang w:val="en-US" w:eastAsia="zh-CN"/>
              </w:rPr>
              <w:t>1,159.58</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Times New Roman" w:hAnsi="Times New Roman" w:eastAsia="宋体" w:cs="Times New Roman"/>
                <w:b/>
                <w:bCs/>
                <w:i w:val="0"/>
                <w:iCs w:val="0"/>
                <w:color w:val="auto"/>
                <w:sz w:val="16"/>
                <w:szCs w:val="16"/>
                <w:highlight w:val="none"/>
                <w:u w:val="none"/>
                <w:lang w:val="en-US" w:eastAsia="zh-CN"/>
              </w:rPr>
              <w:t>612.24</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rPr>
            </w:pPr>
            <w:r>
              <w:rPr>
                <w:rFonts w:hint="eastAsia" w:ascii="Times New Roman" w:hAnsi="Times New Roman" w:eastAsia="宋体" w:cs="Times New Roman"/>
                <w:b/>
                <w:bCs/>
                <w:i w:val="0"/>
                <w:iCs w:val="0"/>
                <w:color w:val="auto"/>
                <w:sz w:val="16"/>
                <w:szCs w:val="16"/>
                <w:highlight w:val="none"/>
                <w:u w:val="none"/>
                <w:lang w:val="en-US" w:eastAsia="zh-CN"/>
              </w:rPr>
              <w:t>547.34</w:t>
            </w: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208</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社会保障和就业支出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14.68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14.68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行政事业单位养老支出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14.68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14.68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2080505</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机关事业单位基本养老保险缴费支出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9.79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9.79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2080506</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机关事业单位职业年金缴费支出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4.89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4.89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210</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卫生健康支出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28.12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28.12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行政事业单位医疗</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28.12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28.12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2101101</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行政单位医疗</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22.05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22.05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2101199</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其他行政事业单位医疗支出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6.08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6.08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221</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住房保障支出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住房改革支出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2210201</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住房公积金</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10.81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snapToGrid w:val="0"/>
                <w:color w:val="000000"/>
                <w:kern w:val="0"/>
                <w:sz w:val="16"/>
                <w:szCs w:val="16"/>
                <w:u w:val="none"/>
                <w:lang w:val="en-US" w:eastAsia="zh-CN" w:bidi="ar"/>
              </w:rPr>
              <w:t>224</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灾害防治及应急管理支出</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1,105.97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558.63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r>
              <w:rPr>
                <w:rFonts w:hint="eastAsia" w:ascii="Times New Roman" w:hAnsi="Times New Roman" w:eastAsia="宋体" w:cs="Times New Roman"/>
                <w:b/>
                <w:bCs/>
                <w:i w:val="0"/>
                <w:iCs w:val="0"/>
                <w:color w:val="auto"/>
                <w:sz w:val="16"/>
                <w:szCs w:val="16"/>
                <w:highlight w:val="none"/>
                <w:u w:val="none"/>
                <w:lang w:val="en-US" w:eastAsia="zh-CN"/>
              </w:rPr>
              <w:t xml:space="preserve">547.34 </w:t>
            </w: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b/>
                <w:bCs/>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消防救援事务</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1,105.97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558.63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547.34 </w:t>
            </w: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2240201</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行政运行</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558.63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558.63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325" w:hRule="atLeast"/>
          <w:jc w:val="center"/>
        </w:trPr>
        <w:tc>
          <w:tcPr>
            <w:tcW w:w="1065"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snapToGrid w:val="0"/>
                <w:color w:val="000000"/>
                <w:kern w:val="0"/>
                <w:sz w:val="16"/>
                <w:szCs w:val="16"/>
                <w:u w:val="none"/>
                <w:lang w:val="en-US" w:eastAsia="zh-CN" w:bidi="ar"/>
              </w:rPr>
              <w:t>2240204</w:t>
            </w:r>
          </w:p>
        </w:tc>
        <w:tc>
          <w:tcPr>
            <w:tcW w:w="279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消防应急救援</w:t>
            </w:r>
          </w:p>
        </w:tc>
        <w:tc>
          <w:tcPr>
            <w:tcW w:w="1395"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547.34 </w:t>
            </w: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p>
        </w:tc>
        <w:tc>
          <w:tcPr>
            <w:tcW w:w="1040"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eastAsia="zh-CN"/>
              </w:rPr>
            </w:pPr>
            <w:r>
              <w:rPr>
                <w:rFonts w:hint="eastAsia" w:ascii="Times New Roman" w:hAnsi="Times New Roman" w:eastAsia="宋体" w:cs="Times New Roman"/>
                <w:i w:val="0"/>
                <w:iCs w:val="0"/>
                <w:color w:val="auto"/>
                <w:sz w:val="16"/>
                <w:szCs w:val="16"/>
                <w:highlight w:val="none"/>
                <w:u w:val="none"/>
                <w:lang w:val="en-US" w:eastAsia="zh-CN"/>
              </w:rPr>
              <w:t xml:space="preserve">547.34 </w:t>
            </w: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702" w:type="dxa"/>
            <w:gridSpan w:val="2"/>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16"/>
                <w:szCs w:val="16"/>
                <w:u w:val="none"/>
              </w:rPr>
            </w:pPr>
          </w:p>
        </w:tc>
        <w:tc>
          <w:tcPr>
            <w:tcW w:w="877"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 w:type="dxa"/>
          <w:trHeight w:val="269" w:hRule="atLeast"/>
          <w:jc w:val="center"/>
        </w:trPr>
        <w:tc>
          <w:tcPr>
            <w:tcW w:w="9617" w:type="dxa"/>
            <w:gridSpan w:val="1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注：本表反映部门本年度各项支出情况。</w:t>
            </w:r>
          </w:p>
        </w:tc>
      </w:tr>
    </w:tbl>
    <w:p>
      <w:pPr>
        <w:keepNext w:val="0"/>
        <w:keepLines w:val="0"/>
        <w:pageBreakBefore w:val="0"/>
        <w:widowControl/>
        <w:tabs>
          <w:tab w:val="left" w:pos="3808"/>
        </w:tabs>
        <w:kinsoku/>
        <w:wordWrap/>
        <w:overflowPunct w:val="0"/>
        <w:topLinePunct w:val="0"/>
        <w:bidi w:val="0"/>
        <w:spacing w:before="4"/>
        <w:jc w:val="both"/>
        <w:rPr>
          <w:rFonts w:hint="default" w:ascii="Times New Roman" w:hAnsi="Times New Roman" w:eastAsia="宋体" w:cs="Times New Roman"/>
          <w:color w:val="auto"/>
          <w:highlight w:val="none"/>
          <w:lang w:eastAsia="zh-CN"/>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4"/>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sectPr>
          <w:footerReference r:id="rId9" w:type="default"/>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p>
    <w:p>
      <w:pPr>
        <w:pStyle w:val="4"/>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tbl>
      <w:tblPr>
        <w:tblStyle w:val="11"/>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33"/>
        <w:gridCol w:w="451"/>
        <w:gridCol w:w="1078"/>
        <w:gridCol w:w="2872"/>
        <w:gridCol w:w="412"/>
        <w:gridCol w:w="696"/>
        <w:gridCol w:w="1020"/>
        <w:gridCol w:w="1029"/>
        <w:gridCol w:w="8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1008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i w:val="0"/>
                <w:iCs w:val="0"/>
                <w:color w:val="000000"/>
                <w:sz w:val="38"/>
                <w:szCs w:val="38"/>
                <w:u w:val="none"/>
              </w:rPr>
            </w:pPr>
            <w:r>
              <w:rPr>
                <w:rStyle w:val="16"/>
                <w:rFonts w:hint="eastAsia" w:ascii="Times New Roman" w:hAnsi="Times New Roman" w:eastAsia="方正小标宋_GBK" w:cs="Times New Roman"/>
                <w:snapToGrid w:val="0"/>
                <w:color w:val="auto"/>
                <w:sz w:val="30"/>
                <w:szCs w:val="30"/>
                <w:highlight w:val="none"/>
                <w:lang w:val="en-US" w:eastAsia="zh-CN" w:bidi="ar"/>
              </w:rPr>
              <w:t>财政拨款收入支出决算批复表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78"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12"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6"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938"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162" w:type="dxa"/>
            <w:gridSpan w:val="3"/>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单位：桂东县消防救援大队</w:t>
            </w:r>
          </w:p>
        </w:tc>
        <w:tc>
          <w:tcPr>
            <w:tcW w:w="2872"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12"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6"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938" w:type="dxa"/>
            <w:gridSpan w:val="3"/>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1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收     入</w:t>
            </w:r>
          </w:p>
        </w:tc>
        <w:tc>
          <w:tcPr>
            <w:tcW w:w="6918"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行次</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w:t>
            </w: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行次</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合计</w:t>
            </w: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一般公共预算财政拨款</w:t>
            </w: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政府性基金预算财政拨款</w:t>
            </w: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栏次</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栏次</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一、一般公共预算财政拨款</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48.24</w:t>
            </w: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一、一般公共服务支出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33</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二、政府性基金预算财政拨款</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二、外交支出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34</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三、国有资本经营预算财政拨款</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三、国防支出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35</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四、公共安全支出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36</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五、教育支出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37</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六、科学技术支出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38</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七、文化旅游体育与传媒支出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39</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八、社会保障和就业支出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九、卫生健康支出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十、节能环保支出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42</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十一、城乡社区支出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43</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十二、农林水支出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44</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十三、交通运输支出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45</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十四、资源勘探工业信息等支出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46</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15</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十五、商业服务业等支出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47</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16</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十六、金融支出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17</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十七、援助其他地区支出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49</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18</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十八、自然资源海洋气象等支出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50</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19</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十九、住房保障支出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51</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二十、粮油物资储备支出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52</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二十一、国有资本经营预算支出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53</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二十二、灾害防治及应急管理支出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54</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48.24</w:t>
            </w: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48.24</w:t>
            </w: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23</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二十三、其他支出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55</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24</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二十四、债务还本支出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56</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25</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二十五、债务付息支出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57</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26</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二十六、抗疫特别国债安排的支出</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58</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本年收入合计</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27</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48.24</w:t>
            </w: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本年支出合计</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59</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48.24</w:t>
            </w: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48.24</w:t>
            </w: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年初结转和结余</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28</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年末结转和结余</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60</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一般公共预算财政拨款</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61</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政府性基金预算财政拨款</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30</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62</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   国有资本经营预算财政拨款</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31</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63</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3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总计</w:t>
            </w:r>
          </w:p>
        </w:tc>
        <w:tc>
          <w:tcPr>
            <w:tcW w:w="45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32</w:t>
            </w:r>
          </w:p>
        </w:tc>
        <w:tc>
          <w:tcPr>
            <w:tcW w:w="10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48.24</w:t>
            </w:r>
          </w:p>
        </w:tc>
        <w:tc>
          <w:tcPr>
            <w:tcW w:w="287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总计</w:t>
            </w:r>
          </w:p>
        </w:tc>
        <w:tc>
          <w:tcPr>
            <w:tcW w:w="41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64</w:t>
            </w:r>
          </w:p>
        </w:tc>
        <w:tc>
          <w:tcPr>
            <w:tcW w:w="69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48.24</w:t>
            </w:r>
          </w:p>
        </w:tc>
        <w:tc>
          <w:tcPr>
            <w:tcW w:w="102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48.24</w:t>
            </w:r>
          </w:p>
        </w:tc>
        <w:tc>
          <w:tcPr>
            <w:tcW w:w="102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b/>
                <w:bCs/>
                <w:i w:val="0"/>
                <w:iCs w:val="0"/>
                <w:color w:val="000000"/>
                <w:sz w:val="18"/>
                <w:szCs w:val="18"/>
                <w:u w:val="none"/>
              </w:rPr>
            </w:pPr>
          </w:p>
        </w:tc>
        <w:tc>
          <w:tcPr>
            <w:tcW w:w="88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b/>
                <w:bCs/>
                <w:i w:val="0"/>
                <w:iCs w:val="0"/>
                <w:color w:val="000000"/>
                <w:sz w:val="18"/>
                <w:szCs w:val="18"/>
                <w:u w:val="none"/>
              </w:rPr>
            </w:pPr>
          </w:p>
        </w:tc>
      </w:tr>
    </w:tbl>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tbl>
      <w:tblPr>
        <w:tblStyle w:val="11"/>
        <w:tblW w:w="95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9"/>
        <w:gridCol w:w="289"/>
        <w:gridCol w:w="396"/>
        <w:gridCol w:w="3558"/>
        <w:gridCol w:w="1846"/>
        <w:gridCol w:w="1678"/>
        <w:gridCol w:w="1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9580" w:type="dxa"/>
            <w:gridSpan w:val="7"/>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center"/>
              <w:rPr>
                <w:rFonts w:hint="eastAsia" w:ascii="宋体" w:hAnsi="宋体" w:eastAsia="宋体" w:cs="宋体"/>
                <w:i w:val="0"/>
                <w:iCs w:val="0"/>
                <w:color w:val="000000"/>
                <w:sz w:val="30"/>
                <w:szCs w:val="30"/>
                <w:u w:val="none"/>
              </w:rPr>
            </w:pPr>
            <w:r>
              <w:rPr>
                <w:rStyle w:val="16"/>
                <w:rFonts w:hint="eastAsia" w:ascii="Times New Roman" w:hAnsi="Times New Roman" w:eastAsia="方正小标宋_GBK" w:cs="Times New Roman"/>
                <w:snapToGrid w:val="0"/>
                <w:color w:val="auto"/>
                <w:sz w:val="30"/>
                <w:szCs w:val="30"/>
                <w:highlight w:val="none"/>
                <w:lang w:val="en-US" w:eastAsia="zh-CN" w:bidi="ar"/>
              </w:rPr>
              <w:br w:type="page"/>
            </w:r>
            <w:r>
              <w:rPr>
                <w:rStyle w:val="16"/>
                <w:rFonts w:hint="eastAsia" w:ascii="Times New Roman" w:hAnsi="Times New Roman" w:eastAsia="方正小标宋_GBK" w:cs="Times New Roman"/>
                <w:snapToGrid w:val="0"/>
                <w:color w:val="auto"/>
                <w:sz w:val="30"/>
                <w:szCs w:val="30"/>
                <w:highlight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289"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289"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3558"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846"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678"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2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6378" w:type="dxa"/>
            <w:gridSpan w:val="5"/>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部门：桂东县消防救援大队                                                              </w:t>
            </w:r>
          </w:p>
        </w:tc>
        <w:tc>
          <w:tcPr>
            <w:tcW w:w="1678"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24"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453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w:t>
            </w:r>
          </w:p>
        </w:tc>
        <w:tc>
          <w:tcPr>
            <w:tcW w:w="5048" w:type="dxa"/>
            <w:gridSpan w:val="3"/>
            <w:tcBorders>
              <w:top w:val="single" w:color="000000" w:sz="8" w:space="0"/>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vMerge w:val="restar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科目代码</w:t>
            </w:r>
          </w:p>
        </w:tc>
        <w:tc>
          <w:tcPr>
            <w:tcW w:w="3558"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科目名称</w:t>
            </w:r>
          </w:p>
        </w:tc>
        <w:tc>
          <w:tcPr>
            <w:tcW w:w="1846"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小计</w:t>
            </w:r>
          </w:p>
        </w:tc>
        <w:tc>
          <w:tcPr>
            <w:tcW w:w="1678"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基本支出</w:t>
            </w:r>
          </w:p>
        </w:tc>
        <w:tc>
          <w:tcPr>
            <w:tcW w:w="1524" w:type="dxa"/>
            <w:vMerge w:val="restart"/>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74" w:type="dxa"/>
            <w:gridSpan w:val="3"/>
            <w:vMerge w:val="continue"/>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3558"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846"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678"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24" w:type="dxa"/>
            <w:vMerge w:val="continue"/>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4532"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栏次</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4532" w:type="dxa"/>
            <w:gridSpan w:val="4"/>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合计</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48.24</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15.50</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32.74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208</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社会保障和就业支出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20805</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行政事业单位养老支出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2080505</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机关事业单位基本养老保险缴费支出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2080506</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机关事业单位职业年金缴费支出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210</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卫生健康支出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21011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行政事业单位医疗</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2101101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行政单位医疗</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2101199</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其他行政事业单位医疗支出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221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住房保障支出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22102</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住房改革支出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2210201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住房公积金</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224</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灾害防治及应急管理支出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消防救援事务</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48.24</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15.50</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32.74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2240201</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行政运行</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15.50</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15.50</w:t>
            </w: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2240204</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消防应急救援</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32.74</w:t>
            </w: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7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2240299</w:t>
            </w:r>
          </w:p>
        </w:tc>
        <w:tc>
          <w:tcPr>
            <w:tcW w:w="355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其他消防救援事务支出</w:t>
            </w:r>
          </w:p>
        </w:tc>
        <w:tc>
          <w:tcPr>
            <w:tcW w:w="1846"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678"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1524" w:type="dxa"/>
            <w:tcBorders>
              <w:top w:val="nil"/>
              <w:left w:val="nil"/>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9580" w:type="dxa"/>
            <w:gridSpan w:val="7"/>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注：本表反映部门本年度一般公共预算财政拨款支出情况。</w:t>
            </w:r>
          </w:p>
        </w:tc>
      </w:tr>
    </w:tbl>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overflowPunct w:val="0"/>
        <w:topLinePunct w:val="0"/>
        <w:bidi w:val="0"/>
        <w:jc w:val="both"/>
        <w:rPr>
          <w:rFonts w:hint="default" w:ascii="Times New Roman" w:hAnsi="Times New Roman" w:eastAsia="宋体" w:cs="Times New Roman"/>
          <w:color w:val="auto"/>
          <w:highlight w:val="none"/>
          <w:lang w:val="en-US" w:eastAsia="zh-CN"/>
        </w:rPr>
      </w:pPr>
    </w:p>
    <w:tbl>
      <w:tblPr>
        <w:tblStyle w:val="11"/>
        <w:tblW w:w="94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5"/>
        <w:gridCol w:w="1628"/>
        <w:gridCol w:w="972"/>
        <w:gridCol w:w="680"/>
        <w:gridCol w:w="1530"/>
        <w:gridCol w:w="970"/>
        <w:gridCol w:w="720"/>
        <w:gridCol w:w="1522"/>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93"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eastAsia="方正小标宋_GBK" w:cs="Times New Roman"/>
                <w:snapToGrid w:val="0"/>
                <w:color w:val="auto"/>
                <w:sz w:val="30"/>
                <w:szCs w:val="30"/>
                <w:highlight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3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1628"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972"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97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2358"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915"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部门：桂东县消防救援大队</w:t>
            </w: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lang w:val="en-US" w:eastAsia="zh-CN"/>
              </w:rPr>
            </w:pPr>
            <w:r>
              <w:rPr>
                <w:rFonts w:hint="eastAsia" w:ascii="宋体" w:hAnsi="宋体" w:eastAsia="宋体" w:cs="宋体"/>
                <w:i w:val="0"/>
                <w:iCs w:val="0"/>
                <w:color w:val="auto"/>
                <w:sz w:val="15"/>
                <w:szCs w:val="15"/>
                <w:highlight w:val="none"/>
                <w:u w:val="none"/>
                <w:lang w:val="en-US" w:eastAsia="zh-CN"/>
              </w:rPr>
              <w:t xml:space="preserve">    </w:t>
            </w:r>
          </w:p>
        </w:tc>
        <w:tc>
          <w:tcPr>
            <w:tcW w:w="97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2358"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科目代码</w:t>
            </w:r>
          </w:p>
        </w:tc>
        <w:tc>
          <w:tcPr>
            <w:tcW w:w="1628"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科目名称</w:t>
            </w:r>
          </w:p>
        </w:tc>
        <w:tc>
          <w:tcPr>
            <w:tcW w:w="972"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决算数</w:t>
            </w:r>
          </w:p>
        </w:tc>
        <w:tc>
          <w:tcPr>
            <w:tcW w:w="68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科目代码</w:t>
            </w:r>
          </w:p>
        </w:tc>
        <w:tc>
          <w:tcPr>
            <w:tcW w:w="153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科目名称</w:t>
            </w:r>
          </w:p>
        </w:tc>
        <w:tc>
          <w:tcPr>
            <w:tcW w:w="97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决算数</w:t>
            </w:r>
          </w:p>
        </w:tc>
        <w:tc>
          <w:tcPr>
            <w:tcW w:w="720"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 代码</w:t>
            </w:r>
          </w:p>
        </w:tc>
        <w:tc>
          <w:tcPr>
            <w:tcW w:w="1522"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科目名称</w:t>
            </w:r>
          </w:p>
        </w:tc>
        <w:tc>
          <w:tcPr>
            <w:tcW w:w="836"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1628"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972"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97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1522"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836"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工资福利支出</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302</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商品和服务支出</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宋体" w:hAnsi="宋体" w:eastAsia="宋体" w:cs="宋体"/>
                <w:b/>
                <w:bCs/>
                <w:i w:val="0"/>
                <w:iCs w:val="0"/>
                <w:color w:val="auto"/>
                <w:sz w:val="15"/>
                <w:szCs w:val="15"/>
                <w:highlight w:val="none"/>
                <w:u w:val="none"/>
                <w:lang w:val="en-US" w:eastAsia="zh-CN"/>
              </w:rPr>
            </w:pPr>
            <w:r>
              <w:rPr>
                <w:rFonts w:hint="eastAsia" w:ascii="宋体" w:hAnsi="宋体" w:eastAsia="宋体" w:cs="宋体"/>
                <w:b/>
                <w:bCs/>
                <w:i w:val="0"/>
                <w:iCs w:val="0"/>
                <w:color w:val="auto"/>
                <w:sz w:val="15"/>
                <w:szCs w:val="15"/>
                <w:highlight w:val="none"/>
                <w:u w:val="none"/>
                <w:lang w:val="en-US" w:eastAsia="zh-CN"/>
              </w:rPr>
              <w:t>15.50</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307</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债务利息及费用支出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b/>
                <w:bCs/>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基本工资</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30201</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办公费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宋体" w:hAnsi="宋体" w:eastAsia="宋体" w:cs="宋体"/>
                <w:i w:val="0"/>
                <w:iCs w:val="0"/>
                <w:color w:val="auto"/>
                <w:sz w:val="15"/>
                <w:szCs w:val="15"/>
                <w:highlight w:val="none"/>
                <w:u w:val="none"/>
                <w:lang w:val="en-US" w:eastAsia="zh-CN"/>
              </w:rPr>
            </w:pPr>
            <w:r>
              <w:rPr>
                <w:rFonts w:hint="eastAsia" w:ascii="宋体" w:hAnsi="宋体" w:eastAsia="宋体" w:cs="宋体"/>
                <w:i w:val="0"/>
                <w:iCs w:val="0"/>
                <w:color w:val="auto"/>
                <w:sz w:val="15"/>
                <w:szCs w:val="15"/>
                <w:highlight w:val="none"/>
                <w:u w:val="none"/>
                <w:lang w:val="en-US" w:eastAsia="zh-CN"/>
              </w:rPr>
              <w:t>3.50</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30701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国内债务付息</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30102</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津贴补贴</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30202</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印刷费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30702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国外债务付息</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奖金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30204</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手续费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b/>
                <w:bCs/>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310</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资本性支出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30106</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伙食补助费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30205</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水费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房屋建筑物购建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30107</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绩效工资</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30206</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电费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宋体" w:hAnsi="宋体" w:eastAsia="宋体" w:cs="宋体"/>
                <w:i w:val="0"/>
                <w:iCs w:val="0"/>
                <w:color w:val="auto"/>
                <w:sz w:val="15"/>
                <w:szCs w:val="15"/>
                <w:highlight w:val="none"/>
                <w:u w:val="none"/>
                <w:lang w:val="en-US" w:eastAsia="zh-CN"/>
              </w:rPr>
            </w:pPr>
            <w:r>
              <w:rPr>
                <w:rFonts w:hint="eastAsia" w:ascii="宋体" w:hAnsi="宋体" w:eastAsia="宋体" w:cs="宋体"/>
                <w:i w:val="0"/>
                <w:iCs w:val="0"/>
                <w:color w:val="auto"/>
                <w:sz w:val="15"/>
                <w:szCs w:val="15"/>
                <w:highlight w:val="none"/>
                <w:u w:val="none"/>
                <w:lang w:val="en-US" w:eastAsia="zh-CN"/>
              </w:rPr>
              <w:t>10.00</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办公设备购置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30108</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机关事业单位基本养老保险缴费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30207</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邮电费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31003</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专用设备购置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30109</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职业年金缴费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30208</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取暖费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31005</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基础设施建设</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30110</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职工基本医疗保险缴费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30209</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物业管理费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31006</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大型修缮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公务员医疗补助缴费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30211</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差旅费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31007</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信息网络及软件购置更新</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30112</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其他社会保障缴费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30212</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因公出国（境）费用</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31008</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物资储备</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住房公积金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30213</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维修（护）费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宋体" w:hAnsi="宋体" w:eastAsia="宋体" w:cs="宋体"/>
                <w:i w:val="0"/>
                <w:iCs w:val="0"/>
                <w:color w:val="auto"/>
                <w:sz w:val="15"/>
                <w:szCs w:val="15"/>
                <w:highlight w:val="none"/>
                <w:u w:val="none"/>
                <w:lang w:val="en-US" w:eastAsia="zh-CN"/>
              </w:rPr>
            </w:pPr>
            <w:r>
              <w:rPr>
                <w:rFonts w:hint="eastAsia" w:ascii="宋体" w:hAnsi="宋体" w:eastAsia="宋体" w:cs="宋体"/>
                <w:i w:val="0"/>
                <w:iCs w:val="0"/>
                <w:color w:val="auto"/>
                <w:sz w:val="15"/>
                <w:szCs w:val="15"/>
                <w:highlight w:val="none"/>
                <w:u w:val="none"/>
                <w:lang w:val="en-US" w:eastAsia="zh-CN"/>
              </w:rPr>
              <w:t>2.00</w:t>
            </w: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31009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土地补偿</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30114</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医疗费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30214</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租赁费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31010</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安置补助</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30199</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其他工资福利支出</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30215</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会议费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地上附着物和青苗补偿</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303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对个人和家庭的补助</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30216</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培训费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拆迁补偿</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离休费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30217</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公务接待费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31013</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公务用车购置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30302</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退休费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30218</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专用材料费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31019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其他交通工具购置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30303</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退职（役）费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30224</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被装购置费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31021</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文物和陈列品购置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30304</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抚恤金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30225</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专用燃料费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31022</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无形资产购置</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30305</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生活补助</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30226</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劳务费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31099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其他资本性支出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30306</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救济费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30227</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委托业务费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399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其他支出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b/>
                <w:bCs/>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30307</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医疗费补助</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30228</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工会经费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39907</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国家赔偿费用支出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30308</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助学金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30229</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福利费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39908</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对民间非营利组织和群众性自治组织补贴</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30309</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奖励金</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30231</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公务用车运行维护费</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39909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经常性赠与</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30310</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个人农业生产补贴</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30239</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其他交通费用</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39910</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资本性赠与</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30311</w:t>
            </w:r>
          </w:p>
        </w:tc>
        <w:tc>
          <w:tcPr>
            <w:tcW w:w="16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代缴社会保险费</w:t>
            </w:r>
          </w:p>
        </w:tc>
        <w:tc>
          <w:tcPr>
            <w:tcW w:w="97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68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30240</w:t>
            </w:r>
          </w:p>
        </w:tc>
        <w:tc>
          <w:tcPr>
            <w:tcW w:w="153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税金及附加费用</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72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39999</w:t>
            </w:r>
          </w:p>
        </w:tc>
        <w:tc>
          <w:tcPr>
            <w:tcW w:w="1522"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其他支出</w:t>
            </w:r>
          </w:p>
        </w:tc>
        <w:tc>
          <w:tcPr>
            <w:tcW w:w="836"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30399</w:t>
            </w:r>
          </w:p>
        </w:tc>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其他对个人和家庭的补助</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30299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r>
              <w:rPr>
                <w:rFonts w:hint="eastAsia" w:ascii="宋体" w:hAnsi="宋体" w:eastAsia="宋体" w:cs="宋体"/>
                <w:i w:val="0"/>
                <w:iCs w:val="0"/>
                <w:snapToGrid w:val="0"/>
                <w:color w:val="auto"/>
                <w:kern w:val="0"/>
                <w:sz w:val="15"/>
                <w:szCs w:val="15"/>
                <w:highlight w:val="none"/>
                <w:u w:val="none"/>
                <w:lang w:val="en-US" w:eastAsia="zh-CN" w:bidi="ar"/>
              </w:rPr>
              <w:t>其他商品和服务支出</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5"/>
                <w:szCs w:val="15"/>
                <w:highlight w:val="none"/>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人员经费合计</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p>
        </w:tc>
        <w:tc>
          <w:tcPr>
            <w:tcW w:w="54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color w:val="auto"/>
                <w:sz w:val="15"/>
                <w:szCs w:val="15"/>
                <w:highlight w:val="none"/>
                <w:u w:val="none"/>
              </w:rPr>
            </w:pPr>
            <w:r>
              <w:rPr>
                <w:rFonts w:hint="eastAsia" w:ascii="宋体" w:hAnsi="宋体" w:eastAsia="宋体" w:cs="宋体"/>
                <w:b/>
                <w:bCs/>
                <w:i w:val="0"/>
                <w:iCs w:val="0"/>
                <w:snapToGrid w:val="0"/>
                <w:color w:val="auto"/>
                <w:kern w:val="0"/>
                <w:sz w:val="15"/>
                <w:szCs w:val="15"/>
                <w:highlight w:val="none"/>
                <w:u w:val="none"/>
                <w:lang w:val="en-US" w:eastAsia="zh-CN" w:bidi="ar"/>
              </w:rPr>
              <w:t>公用经费合计</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宋体" w:hAnsi="宋体" w:eastAsia="宋体" w:cs="宋体"/>
                <w:b/>
                <w:bCs/>
                <w:i w:val="0"/>
                <w:iCs w:val="0"/>
                <w:color w:val="auto"/>
                <w:sz w:val="15"/>
                <w:szCs w:val="15"/>
                <w:highlight w:val="none"/>
                <w:u w:val="none"/>
                <w:lang w:val="en-US" w:eastAsia="zh-CN"/>
              </w:rPr>
            </w:pPr>
            <w:r>
              <w:rPr>
                <w:rFonts w:hint="eastAsia" w:ascii="宋体" w:hAnsi="宋体" w:eastAsia="宋体" w:cs="宋体"/>
                <w:b/>
                <w:bCs/>
                <w:i w:val="0"/>
                <w:iCs w:val="0"/>
                <w:color w:val="auto"/>
                <w:sz w:val="15"/>
                <w:szCs w:val="15"/>
                <w:highlight w:val="none"/>
                <w:u w:val="none"/>
                <w:lang w:val="en-US" w:eastAsia="zh-CN"/>
              </w:rPr>
              <w:t>15.50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93"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auto"/>
                <w:kern w:val="0"/>
                <w:sz w:val="15"/>
                <w:szCs w:val="15"/>
                <w:highlight w:val="none"/>
                <w:u w:val="none"/>
                <w:lang w:val="en-US" w:eastAsia="zh-CN" w:bidi="ar"/>
              </w:rPr>
            </w:pPr>
            <w:r>
              <w:rPr>
                <w:rFonts w:hint="eastAsia" w:ascii="宋体" w:hAnsi="宋体" w:eastAsia="宋体" w:cs="宋体"/>
                <w:i w:val="0"/>
                <w:iCs w:val="0"/>
                <w:snapToGrid w:val="0"/>
                <w:color w:val="auto"/>
                <w:kern w:val="0"/>
                <w:sz w:val="15"/>
                <w:szCs w:val="15"/>
                <w:highlight w:val="none"/>
                <w:u w:val="none"/>
                <w:lang w:val="en-US" w:eastAsia="zh-CN" w:bidi="ar"/>
              </w:rPr>
              <w:t>注：本表反映部门本年度一般公共预算财政拨款基本支出明细情况</w:t>
            </w:r>
          </w:p>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snapToGrid w:val="0"/>
                <w:color w:val="auto"/>
                <w:kern w:val="0"/>
                <w:sz w:val="15"/>
                <w:szCs w:val="15"/>
                <w:highlight w:val="none"/>
                <w:u w:val="none"/>
                <w:lang w:val="en-US" w:eastAsia="zh-CN" w:bidi="ar"/>
              </w:rPr>
            </w:pPr>
          </w:p>
        </w:tc>
      </w:tr>
    </w:tbl>
    <w:p>
      <w:pPr>
        <w:keepNext w:val="0"/>
        <w:keepLines w:val="0"/>
        <w:pageBreakBefore w:val="0"/>
        <w:widowControl/>
        <w:kinsoku/>
        <w:wordWrap/>
        <w:overflowPunct w:val="0"/>
        <w:topLinePunct w:val="0"/>
        <w:bidi w:val="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w:t>
      </w: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tbl>
      <w:tblPr>
        <w:tblStyle w:val="11"/>
        <w:tblW w:w="94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6"/>
        <w:gridCol w:w="1237"/>
        <w:gridCol w:w="965"/>
        <w:gridCol w:w="1025"/>
        <w:gridCol w:w="1205"/>
        <w:gridCol w:w="1260"/>
        <w:gridCol w:w="1195"/>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61" w:type="dxa"/>
            <w:gridSpan w:val="8"/>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eastAsia="方正小标宋_GBK" w:cs="Times New Roman"/>
                <w:snapToGrid w:val="0"/>
                <w:color w:val="auto"/>
                <w:sz w:val="30"/>
                <w:szCs w:val="30"/>
                <w:highlight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1346"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37"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96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02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0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6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19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73"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tabs>
                <w:tab w:val="right" w:pos="4424"/>
              </w:tabs>
              <w:kinsoku/>
              <w:wordWrap/>
              <w:overflowPunct w:val="0"/>
              <w:topLinePunct w:val="0"/>
              <w:bidi w:val="0"/>
              <w:ind w:firstLine="180" w:firstLineChars="100"/>
              <w:jc w:val="both"/>
              <w:textAlignment w:val="center"/>
              <w:rPr>
                <w:rFonts w:hint="eastAsia" w:ascii="宋体" w:hAnsi="宋体" w:eastAsia="宋体" w:cs="宋体"/>
                <w:i w:val="0"/>
                <w:iCs w:val="0"/>
                <w:color w:val="auto"/>
                <w:sz w:val="18"/>
                <w:szCs w:val="18"/>
                <w:highlight w:val="none"/>
                <w:u w:val="none"/>
                <w:lang w:val="en-US"/>
              </w:rPr>
            </w:pPr>
            <w:r>
              <w:rPr>
                <w:rFonts w:hint="eastAsia" w:ascii="宋体" w:hAnsi="宋体" w:eastAsia="宋体" w:cs="宋体"/>
                <w:i w:val="0"/>
                <w:iCs w:val="0"/>
                <w:snapToGrid w:val="0"/>
                <w:color w:val="auto"/>
                <w:kern w:val="0"/>
                <w:sz w:val="18"/>
                <w:szCs w:val="18"/>
                <w:highlight w:val="none"/>
                <w:u w:val="none"/>
                <w:lang w:val="en-US" w:eastAsia="zh-CN" w:bidi="ar"/>
              </w:rPr>
              <w:t xml:space="preserve">部门：桂东县消防救援大队                         </w:t>
            </w:r>
          </w:p>
        </w:tc>
        <w:tc>
          <w:tcPr>
            <w:tcW w:w="120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lang w:val="en-US" w:eastAsia="zh-CN"/>
              </w:rPr>
            </w:pPr>
          </w:p>
        </w:tc>
        <w:tc>
          <w:tcPr>
            <w:tcW w:w="126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19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28"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项目</w:t>
            </w:r>
          </w:p>
        </w:tc>
        <w:tc>
          <w:tcPr>
            <w:tcW w:w="965"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年初结转和结余 </w:t>
            </w:r>
          </w:p>
        </w:tc>
        <w:tc>
          <w:tcPr>
            <w:tcW w:w="1025"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本年收入</w:t>
            </w:r>
          </w:p>
        </w:tc>
        <w:tc>
          <w:tcPr>
            <w:tcW w:w="3660" w:type="dxa"/>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本年支出</w:t>
            </w:r>
          </w:p>
        </w:tc>
        <w:tc>
          <w:tcPr>
            <w:tcW w:w="1228"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4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科目代码</w:t>
            </w:r>
          </w:p>
        </w:tc>
        <w:tc>
          <w:tcPr>
            <w:tcW w:w="1237"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科目名称</w:t>
            </w:r>
          </w:p>
        </w:tc>
        <w:tc>
          <w:tcPr>
            <w:tcW w:w="96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02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05"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小计</w:t>
            </w:r>
          </w:p>
        </w:tc>
        <w:tc>
          <w:tcPr>
            <w:tcW w:w="126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基本支出 </w:t>
            </w:r>
          </w:p>
        </w:tc>
        <w:tc>
          <w:tcPr>
            <w:tcW w:w="1195"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项目支出</w:t>
            </w:r>
          </w:p>
        </w:tc>
        <w:tc>
          <w:tcPr>
            <w:tcW w:w="1228"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46"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37"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96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025"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05"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6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195"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栏次</w:t>
            </w:r>
          </w:p>
        </w:tc>
        <w:tc>
          <w:tcPr>
            <w:tcW w:w="96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10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120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w:t>
            </w:r>
          </w:p>
        </w:tc>
        <w:tc>
          <w:tcPr>
            <w:tcW w:w="12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w:t>
            </w:r>
          </w:p>
        </w:tc>
        <w:tc>
          <w:tcPr>
            <w:tcW w:w="119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w:t>
            </w:r>
          </w:p>
        </w:tc>
        <w:tc>
          <w:tcPr>
            <w:tcW w:w="12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合计</w:t>
            </w:r>
          </w:p>
        </w:tc>
        <w:tc>
          <w:tcPr>
            <w:tcW w:w="96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0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0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19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4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96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02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0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60"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195"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c>
          <w:tcPr>
            <w:tcW w:w="1228" w:type="dxa"/>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61" w:type="dxa"/>
            <w:gridSpan w:val="8"/>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ind w:firstLine="360" w:firstLineChars="200"/>
              <w:jc w:val="both"/>
              <w:textAlignment w:val="center"/>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注：本表反映部门本年度政府性基金预算财政拨款收入、支出及结转和结余情况。</w:t>
            </w:r>
          </w:p>
          <w:p>
            <w:pPr>
              <w:keepNext w:val="0"/>
              <w:keepLines w:val="0"/>
              <w:pageBreakBefore w:val="0"/>
              <w:widowControl/>
              <w:suppressLineNumbers w:val="0"/>
              <w:kinsoku/>
              <w:wordWrap/>
              <w:overflowPunct w:val="0"/>
              <w:topLinePunct w:val="0"/>
              <w:bidi w:val="0"/>
              <w:ind w:firstLine="360" w:firstLineChars="200"/>
              <w:jc w:val="both"/>
              <w:textAlignment w:val="center"/>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说明：桂东县消防救援大队没有使用政府性基金预算安排的支出，故本表无数据。</w:t>
            </w:r>
          </w:p>
        </w:tc>
      </w:tr>
    </w:tbl>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tbl>
      <w:tblPr>
        <w:tblStyle w:val="11"/>
        <w:tblW w:w="9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5"/>
        <w:gridCol w:w="1460"/>
        <w:gridCol w:w="1530"/>
        <w:gridCol w:w="569"/>
        <w:gridCol w:w="1851"/>
        <w:gridCol w:w="2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45" w:type="dxa"/>
            <w:gridSpan w:val="6"/>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方正小标宋_GBK" w:cs="Times New Roman"/>
                <w:i w:val="0"/>
                <w:iCs w:val="0"/>
                <w:color w:val="auto"/>
                <w:sz w:val="30"/>
                <w:szCs w:val="30"/>
                <w:highlight w:val="none"/>
                <w:u w:val="none"/>
              </w:rPr>
            </w:pPr>
            <w:r>
              <w:rPr>
                <w:rStyle w:val="16"/>
                <w:rFonts w:hint="default" w:ascii="Times New Roman" w:hAnsi="Times New Roman" w:eastAsia="方正小标宋_GBK" w:cs="Times New Roman"/>
                <w:snapToGrid w:val="0"/>
                <w:color w:val="auto"/>
                <w:sz w:val="30"/>
                <w:szCs w:val="30"/>
                <w:highlight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55"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46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569"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4431"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5"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桂东县消防救援大队</w:t>
            </w:r>
          </w:p>
        </w:tc>
        <w:tc>
          <w:tcPr>
            <w:tcW w:w="1530"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lang w:val="en-US" w:eastAsia="zh-CN"/>
              </w:rPr>
            </w:pPr>
            <w:r>
              <w:rPr>
                <w:rFonts w:hint="default" w:ascii="Times New Roman" w:hAnsi="Times New Roman" w:eastAsia="宋体" w:cs="Times New Roman"/>
                <w:i w:val="0"/>
                <w:iCs w:val="0"/>
                <w:color w:val="auto"/>
                <w:sz w:val="16"/>
                <w:szCs w:val="16"/>
                <w:highlight w:val="none"/>
                <w:u w:val="none"/>
                <w:lang w:val="en-US" w:eastAsia="zh-CN"/>
              </w:rPr>
              <w:t xml:space="preserve">                </w:t>
            </w:r>
          </w:p>
        </w:tc>
        <w:tc>
          <w:tcPr>
            <w:tcW w:w="569" w:type="dxa"/>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4431"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    目</w:t>
            </w:r>
          </w:p>
        </w:tc>
        <w:tc>
          <w:tcPr>
            <w:tcW w:w="6530" w:type="dxa"/>
            <w:gridSpan w:val="4"/>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55"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科目代码</w:t>
            </w:r>
          </w:p>
        </w:tc>
        <w:tc>
          <w:tcPr>
            <w:tcW w:w="146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科目名称</w:t>
            </w:r>
          </w:p>
        </w:tc>
        <w:tc>
          <w:tcPr>
            <w:tcW w:w="153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2420" w:type="dxa"/>
            <w:gridSpan w:val="2"/>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基本支出</w:t>
            </w:r>
          </w:p>
        </w:tc>
        <w:tc>
          <w:tcPr>
            <w:tcW w:w="2580" w:type="dxa"/>
            <w:vMerge w:val="restart"/>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55"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46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53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420" w:type="dxa"/>
            <w:gridSpan w:val="2"/>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580" w:type="dxa"/>
            <w:vMerge w:val="continue"/>
            <w:tcBorders>
              <w:top w:val="nil"/>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55" w:type="dxa"/>
            <w:vMerge w:val="continue"/>
            <w:tcBorders>
              <w:top w:val="nil"/>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460" w:type="dxa"/>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530" w:type="dxa"/>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420" w:type="dxa"/>
            <w:gridSpan w:val="2"/>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580" w:type="dxa"/>
            <w:vMerge w:val="continue"/>
            <w:tcBorders>
              <w:top w:val="nil"/>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30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栏次</w:t>
            </w: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30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5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4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53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4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bl>
    <w:p>
      <w:pPr>
        <w:keepNext w:val="0"/>
        <w:keepLines w:val="0"/>
        <w:pageBreakBefore w:val="0"/>
        <w:widowControl/>
        <w:suppressLineNumbers w:val="0"/>
        <w:kinsoku/>
        <w:wordWrap/>
        <w:overflowPunct w:val="0"/>
        <w:topLinePunct w:val="0"/>
        <w:bidi w:val="0"/>
        <w:ind w:firstLine="160" w:firstLineChars="100"/>
        <w:jc w:val="both"/>
        <w:textAlignment w:val="center"/>
        <w:rPr>
          <w:rFonts w:hint="eastAsia"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注：本表反映部门本年度国有资本经营预算财政拨款支出情况</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p>
    <w:p>
      <w:pPr>
        <w:keepNext w:val="0"/>
        <w:keepLines w:val="0"/>
        <w:pageBreakBefore w:val="0"/>
        <w:widowControl/>
        <w:suppressLineNumbers w:val="0"/>
        <w:kinsoku/>
        <w:wordWrap/>
        <w:overflowPunct w:val="0"/>
        <w:topLinePunct w:val="0"/>
        <w:bidi w:val="0"/>
        <w:ind w:firstLine="160" w:firstLineChars="100"/>
        <w:jc w:val="both"/>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说明：</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桂东县消防救援大队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没有使用国有资本经营预算安排的支出，故本表无数据。</w:t>
      </w: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tbl>
      <w:tblPr>
        <w:tblStyle w:val="11"/>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2"/>
        <w:gridCol w:w="660"/>
        <w:gridCol w:w="880"/>
        <w:gridCol w:w="700"/>
        <w:gridCol w:w="930"/>
        <w:gridCol w:w="700"/>
        <w:gridCol w:w="870"/>
        <w:gridCol w:w="670"/>
        <w:gridCol w:w="890"/>
        <w:gridCol w:w="760"/>
        <w:gridCol w:w="880"/>
        <w:gridCol w:w="8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jc w:val="center"/>
        </w:trPr>
        <w:tc>
          <w:tcPr>
            <w:tcW w:w="9720" w:type="dxa"/>
            <w:gridSpan w:val="12"/>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val="0"/>
              <w:topLinePunct w:val="0"/>
              <w:bidi w:val="0"/>
              <w:jc w:val="center"/>
              <w:textAlignment w:val="center"/>
              <w:rPr>
                <w:rFonts w:hint="default" w:ascii="Times New Roman" w:hAnsi="Times New Roman" w:eastAsia="宋体" w:cs="Times New Roman"/>
                <w:i w:val="0"/>
                <w:iCs w:val="0"/>
                <w:color w:val="auto"/>
                <w:sz w:val="16"/>
                <w:szCs w:val="16"/>
                <w:highlight w:val="none"/>
                <w:u w:val="none"/>
              </w:rPr>
            </w:pPr>
            <w:r>
              <w:rPr>
                <w:rStyle w:val="16"/>
                <w:rFonts w:hint="default" w:ascii="Times New Roman" w:hAnsi="Times New Roman" w:eastAsia="方正小标宋_GBK" w:cs="Times New Roman"/>
                <w:snapToGrid w:val="0"/>
                <w:color w:val="auto"/>
                <w:sz w:val="30"/>
                <w:szCs w:val="30"/>
                <w:highlight w:val="none"/>
                <w:lang w:val="en-US" w:eastAsia="zh-CN" w:bidi="ar"/>
              </w:rPr>
              <w:t>财政拨款</w:t>
            </w:r>
            <w:r>
              <w:rPr>
                <w:rStyle w:val="16"/>
                <w:rFonts w:hint="eastAsia" w:ascii="Times New Roman" w:hAnsi="Times New Roman" w:eastAsia="方正小标宋_GBK" w:cs="Times New Roman"/>
                <w:snapToGrid w:val="0"/>
                <w:color w:val="auto"/>
                <w:sz w:val="30"/>
                <w:szCs w:val="30"/>
                <w:highlight w:val="none"/>
                <w:lang w:val="en-US" w:eastAsia="zh-CN" w:bidi="ar"/>
              </w:rPr>
              <w:t>“</w:t>
            </w:r>
            <w:r>
              <w:rPr>
                <w:rStyle w:val="16"/>
                <w:rFonts w:hint="default" w:ascii="Times New Roman" w:hAnsi="Times New Roman" w:eastAsia="方正小标宋_GBK" w:cs="Times New Roman"/>
                <w:snapToGrid w:val="0"/>
                <w:color w:val="auto"/>
                <w:sz w:val="30"/>
                <w:szCs w:val="30"/>
                <w:highlight w:val="none"/>
                <w:lang w:val="en-US" w:eastAsia="zh-CN" w:bidi="ar"/>
              </w:rPr>
              <w:t>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66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8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0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93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0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7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67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9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6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748" w:type="dxa"/>
            <w:gridSpan w:val="2"/>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82"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部门：</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桂东县消防救援大队</w:t>
            </w:r>
          </w:p>
        </w:tc>
        <w:tc>
          <w:tcPr>
            <w:tcW w:w="87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lang w:val="en-US" w:eastAsia="zh-CN"/>
              </w:rPr>
            </w:pPr>
          </w:p>
        </w:tc>
        <w:tc>
          <w:tcPr>
            <w:tcW w:w="67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9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60" w:type="dxa"/>
            <w:tcBorders>
              <w:top w:val="nil"/>
              <w:left w:val="nil"/>
              <w:bottom w:val="nil"/>
              <w:right w:val="nil"/>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1748" w:type="dxa"/>
            <w:gridSpan w:val="2"/>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预算数</w:t>
            </w:r>
          </w:p>
        </w:tc>
        <w:tc>
          <w:tcPr>
            <w:tcW w:w="49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因公出国 （境）费</w:t>
            </w:r>
          </w:p>
        </w:tc>
        <w:tc>
          <w:tcPr>
            <w:tcW w:w="2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公务用车购置及运行维护费</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公务接待费</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合计</w:t>
            </w:r>
          </w:p>
        </w:tc>
        <w:tc>
          <w:tcPr>
            <w:tcW w:w="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因公出国 （境）费</w:t>
            </w:r>
          </w:p>
        </w:tc>
        <w:tc>
          <w:tcPr>
            <w:tcW w:w="25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公务用车购置及运行维护费</w:t>
            </w:r>
          </w:p>
        </w:tc>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公务接    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小计 </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公务用车购置费</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公务用车运行维护费</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 xml:space="preserve">小计 </w:t>
            </w:r>
          </w:p>
        </w:tc>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公务用车购置费</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公务用车运行维护费</w:t>
            </w: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5</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6</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7</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8</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9</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lang w:val="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default" w:ascii="Times New Roman" w:hAnsi="Times New Roman" w:eastAsia="宋体" w:cs="Times New Roman"/>
                <w:i w:val="0"/>
                <w:iCs w:val="0"/>
                <w:color w:val="auto"/>
                <w:sz w:val="16"/>
                <w:szCs w:val="16"/>
                <w:highlight w:val="none"/>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default" w:ascii="Times New Roman" w:hAnsi="Times New Roman" w:eastAsia="宋体" w:cs="Times New Roman"/>
                <w:i w:val="0"/>
                <w:iCs w:val="0"/>
                <w:color w:val="auto"/>
                <w:sz w:val="16"/>
                <w:szCs w:val="16"/>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9720" w:type="dxa"/>
            <w:gridSpan w:val="12"/>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val="0"/>
              <w:topLinePunct w:val="0"/>
              <w:bidi w:val="0"/>
              <w:ind w:firstLine="160" w:firstLineChars="100"/>
              <w:jc w:val="both"/>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注：本表反映部门本年度财政拨款</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三公”经费支出预决算情况。</w:t>
            </w:r>
          </w:p>
          <w:p>
            <w:pPr>
              <w:keepNext w:val="0"/>
              <w:keepLines w:val="0"/>
              <w:pageBreakBefore w:val="0"/>
              <w:widowControl/>
              <w:suppressLineNumbers w:val="0"/>
              <w:kinsoku/>
              <w:wordWrap/>
              <w:overflowPunct w:val="0"/>
              <w:topLinePunct w:val="0"/>
              <w:bidi w:val="0"/>
              <w:ind w:firstLine="160" w:firstLineChars="100"/>
              <w:jc w:val="both"/>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snapToGrid w:val="0"/>
                <w:color w:val="auto"/>
                <w:kern w:val="0"/>
                <w:sz w:val="16"/>
                <w:szCs w:val="16"/>
                <w:highlight w:val="none"/>
                <w:u w:val="none"/>
                <w:lang w:val="en-US" w:eastAsia="zh-CN" w:bidi="ar"/>
              </w:rPr>
              <w:t>说明：</w:t>
            </w:r>
            <w:r>
              <w:rPr>
                <w:rFonts w:hint="eastAsia" w:ascii="Times New Roman" w:hAnsi="Times New Roman" w:eastAsia="宋体" w:cs="Times New Roman"/>
                <w:i w:val="0"/>
                <w:iCs w:val="0"/>
                <w:snapToGrid w:val="0"/>
                <w:color w:val="auto"/>
                <w:kern w:val="0"/>
                <w:sz w:val="16"/>
                <w:szCs w:val="16"/>
                <w:highlight w:val="none"/>
                <w:u w:val="none"/>
                <w:lang w:val="en-US" w:eastAsia="zh-CN" w:bidi="ar"/>
              </w:rPr>
              <w:t>桂东县消防救援大队</w:t>
            </w:r>
            <w:r>
              <w:rPr>
                <w:rFonts w:hint="default" w:ascii="Times New Roman" w:hAnsi="Times New Roman" w:eastAsia="宋体" w:cs="Times New Roman"/>
                <w:i w:val="0"/>
                <w:iCs w:val="0"/>
                <w:snapToGrid w:val="0"/>
                <w:color w:val="auto"/>
                <w:kern w:val="0"/>
                <w:sz w:val="16"/>
                <w:szCs w:val="16"/>
                <w:highlight w:val="none"/>
                <w:u w:val="none"/>
                <w:lang w:val="en-US" w:eastAsia="zh-CN" w:bidi="ar"/>
              </w:rPr>
              <w:t>没有使用财政拨款“三公经费”预算安排的支出，故本表无数据。</w:t>
            </w:r>
          </w:p>
          <w:p>
            <w:pPr>
              <w:keepNext w:val="0"/>
              <w:keepLines w:val="0"/>
              <w:pageBreakBefore w:val="0"/>
              <w:widowControl/>
              <w:suppressLineNumbers w:val="0"/>
              <w:kinsoku/>
              <w:wordWrap/>
              <w:overflowPunct w:val="0"/>
              <w:topLinePunct w:val="0"/>
              <w:bidi w:val="0"/>
              <w:ind w:firstLine="160" w:firstLineChars="100"/>
              <w:jc w:val="both"/>
              <w:textAlignment w:val="center"/>
              <w:rPr>
                <w:rFonts w:hint="default" w:ascii="Times New Roman" w:hAnsi="Times New Roman" w:eastAsia="宋体" w:cs="Times New Roman"/>
                <w:i w:val="0"/>
                <w:iCs w:val="0"/>
                <w:snapToGrid w:val="0"/>
                <w:color w:val="auto"/>
                <w:kern w:val="0"/>
                <w:sz w:val="16"/>
                <w:szCs w:val="16"/>
                <w:highlight w:val="none"/>
                <w:u w:val="none"/>
                <w:lang w:val="en-US" w:eastAsia="zh-CN" w:bidi="ar"/>
              </w:rPr>
            </w:pPr>
          </w:p>
        </w:tc>
      </w:tr>
    </w:tbl>
    <w:p>
      <w:pPr>
        <w:keepNext w:val="0"/>
        <w:keepLines w:val="0"/>
        <w:pageBreakBefore w:val="0"/>
        <w:widowControl/>
        <w:kinsoku/>
        <w:wordWrap/>
        <w:overflowPunct w:val="0"/>
        <w:topLinePunct w:val="0"/>
        <w:bidi w:val="0"/>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jc w:val="both"/>
        <w:rPr>
          <w:rFonts w:hint="default" w:ascii="Arial" w:hAnsi="Arial" w:eastAsia="Arial" w:cs="Arial"/>
          <w:snapToGrid w:val="0"/>
          <w:color w:val="auto"/>
          <w:kern w:val="0"/>
          <w:sz w:val="21"/>
          <w:szCs w:val="21"/>
          <w:highlight w:val="none"/>
          <w:lang w:val="en-US" w:eastAsia="en-US" w:bidi="ar-SA"/>
        </w:rPr>
      </w:pPr>
    </w:p>
    <w:p>
      <w:pPr>
        <w:keepNext w:val="0"/>
        <w:keepLines w:val="0"/>
        <w:pageBreakBefore w:val="0"/>
        <w:widowControl/>
        <w:kinsoku/>
        <w:wordWrap/>
        <w:overflowPunct w:val="0"/>
        <w:topLinePunct w:val="0"/>
        <w:bidi w:val="0"/>
        <w:jc w:val="both"/>
        <w:rPr>
          <w:rFonts w:hint="default"/>
          <w:color w:val="auto"/>
          <w:highlight w:val="none"/>
          <w:lang w:val="en-US" w:eastAsia="en-US"/>
        </w:rPr>
      </w:pPr>
    </w:p>
    <w:p>
      <w:pPr>
        <w:keepNext w:val="0"/>
        <w:keepLines w:val="0"/>
        <w:pageBreakBefore w:val="0"/>
        <w:widowControl/>
        <w:kinsoku/>
        <w:wordWrap/>
        <w:overflowPunct w:val="0"/>
        <w:topLinePunct w:val="0"/>
        <w:bidi w:val="0"/>
        <w:jc w:val="both"/>
        <w:rPr>
          <w:rFonts w:hint="default"/>
          <w:color w:val="auto"/>
          <w:highlight w:val="none"/>
          <w:lang w:val="en-US" w:eastAsia="en-US"/>
        </w:rPr>
      </w:pPr>
    </w:p>
    <w:p>
      <w:pPr>
        <w:keepNext w:val="0"/>
        <w:keepLines w:val="0"/>
        <w:pageBreakBefore w:val="0"/>
        <w:widowControl/>
        <w:kinsoku/>
        <w:wordWrap/>
        <w:overflowPunct w:val="0"/>
        <w:topLinePunct w:val="0"/>
        <w:bidi w:val="0"/>
        <w:jc w:val="both"/>
        <w:rPr>
          <w:rFonts w:hint="default"/>
          <w:color w:val="auto"/>
          <w:highlight w:val="none"/>
          <w:lang w:val="en-US" w:eastAsia="en-US"/>
        </w:rPr>
      </w:pPr>
    </w:p>
    <w:p>
      <w:pPr>
        <w:keepNext w:val="0"/>
        <w:keepLines w:val="0"/>
        <w:pageBreakBefore w:val="0"/>
        <w:widowControl/>
        <w:kinsoku/>
        <w:wordWrap/>
        <w:overflowPunct w:val="0"/>
        <w:topLinePunct w:val="0"/>
        <w:bidi w:val="0"/>
        <w:jc w:val="both"/>
        <w:rPr>
          <w:rFonts w:hint="default"/>
          <w:color w:val="auto"/>
          <w:highlight w:val="none"/>
          <w:lang w:val="en-US" w:eastAsia="en-US"/>
        </w:rPr>
      </w:pPr>
    </w:p>
    <w:p>
      <w:pPr>
        <w:keepNext w:val="0"/>
        <w:keepLines w:val="0"/>
        <w:pageBreakBefore w:val="0"/>
        <w:widowControl/>
        <w:kinsoku/>
        <w:wordWrap/>
        <w:overflowPunct w:val="0"/>
        <w:topLinePunct w:val="0"/>
        <w:bidi w:val="0"/>
        <w:jc w:val="both"/>
        <w:rPr>
          <w:rFonts w:hint="default"/>
          <w:color w:val="auto"/>
          <w:highlight w:val="none"/>
          <w:lang w:val="en-US" w:eastAsia="en-US"/>
        </w:rPr>
      </w:pPr>
    </w:p>
    <w:p>
      <w:pPr>
        <w:keepNext w:val="0"/>
        <w:keepLines w:val="0"/>
        <w:pageBreakBefore w:val="0"/>
        <w:widowControl/>
        <w:tabs>
          <w:tab w:val="center" w:pos="4320"/>
        </w:tabs>
        <w:kinsoku/>
        <w:wordWrap/>
        <w:overflowPunct w:val="0"/>
        <w:topLinePunct w:val="0"/>
        <w:bidi w:val="0"/>
        <w:jc w:val="both"/>
        <w:rPr>
          <w:rFonts w:hint="eastAsia" w:eastAsia="宋体"/>
          <w:color w:val="auto"/>
          <w:highlight w:val="none"/>
          <w:lang w:val="en-US" w:eastAsia="zh-CN"/>
        </w:rPr>
        <w:sectPr>
          <w:pgSz w:w="11907" w:h="16839"/>
          <w:pgMar w:top="1429" w:right="1531" w:bottom="941" w:left="1532" w:header="0" w:footer="675" w:gutter="0"/>
          <w:pgBorders>
            <w:top w:val="none" w:sz="0" w:space="0"/>
            <w:left w:val="none" w:sz="0" w:space="0"/>
            <w:bottom w:val="none" w:sz="0" w:space="0"/>
            <w:right w:val="none" w:sz="0" w:space="0"/>
          </w:pgBorders>
          <w:pgNumType w:fmt="decimal"/>
          <w:cols w:equalWidth="0" w:num="1">
            <w:col w:w="8640"/>
          </w:cols>
          <w:rtlGutter w:val="0"/>
          <w:docGrid w:linePitch="0" w:charSpace="0"/>
        </w:sectPr>
      </w:pPr>
      <w:r>
        <w:rPr>
          <w:rFonts w:hint="eastAsia" w:eastAsia="宋体"/>
          <w:color w:val="auto"/>
          <w:highlight w:val="none"/>
          <w:lang w:val="en-US" w:eastAsia="zh-CN"/>
        </w:rPr>
        <w:tab/>
      </w: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bookmarkStart w:id="10" w:name="bookmark39"/>
      <w:bookmarkEnd w:id="10"/>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r>
        <w:rPr>
          <w:rFonts w:hint="eastAsia" w:ascii="方正黑体_GBK" w:hAnsi="方正黑体_GBK" w:eastAsia="方正黑体_GBK" w:cs="方正黑体_GBK"/>
          <w:b/>
          <w:bCs/>
          <w:color w:val="auto"/>
          <w:spacing w:val="-1"/>
          <w:sz w:val="56"/>
          <w:szCs w:val="56"/>
          <w:highlight w:val="none"/>
        </w:rPr>
        <mc:AlternateContent>
          <mc:Choice Requires="wps">
            <w:drawing>
              <wp:anchor distT="0" distB="0" distL="0" distR="0" simplePos="0" relativeHeight="251666432" behindDoc="1" locked="0" layoutInCell="1" allowOverlap="1">
                <wp:simplePos x="0" y="0"/>
                <wp:positionH relativeFrom="column">
                  <wp:posOffset>10795</wp:posOffset>
                </wp:positionH>
                <wp:positionV relativeFrom="paragraph">
                  <wp:posOffset>5715</wp:posOffset>
                </wp:positionV>
                <wp:extent cx="7560310" cy="1800225"/>
                <wp:effectExtent l="0" t="0" r="2540" b="9525"/>
                <wp:wrapNone/>
                <wp:docPr id="8" name="Rect 8"/>
                <wp:cNvGraphicFramePr/>
                <a:graphic xmlns:a="http://schemas.openxmlformats.org/drawingml/2006/main">
                  <a:graphicData uri="http://schemas.microsoft.com/office/word/2010/wordprocessingShape">
                    <wps:wsp>
                      <wps:cNvSpPr/>
                      <wps:spPr>
                        <a:xfrm>
                          <a:off x="0" y="-40503"/>
                          <a:ext cx="7560310"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val="en-US" w:eastAsia="zh-CN"/>
                              </w:rPr>
                            </w:pPr>
                            <w:r>
                              <w:rPr>
                                <w:rFonts w:hint="eastAsia" w:eastAsia="宋体"/>
                                <w:lang w:val="en-US" w:eastAsia="zh-CN"/>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rect id="Rect 8" o:spid="_x0000_s1026" o:spt="1" style="position:absolute;left:0pt;margin-left:0.85pt;margin-top:0.45pt;height:141.75pt;width:595.3pt;z-index:-251650048;mso-width-relative:page;mso-height-relative:page;" fillcolor="#92D050" filled="t" stroked="f" coordsize="21600,21600" o:gfxdata="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FgAAAGRycy9QSwECFAAUAAAACACHTuJAzYnCGdQAAAAHAQAADwAAAAAAAAABACAAAAA4AAAAZHJz&#10;L2Rvd25yZXYueG1sUEsBAhQAFAAAAAgAh07iQBNcMKArAgAAVQQAAA4AAAAAAAAAAQAgAAAAOQEA&#10;AGRycy9lMm9Eb2MueG1sUEsFBgAAAAAGAAYAWQEAANYFAAAAAA==&#10;">
                <v:fill on="t" opacity="57311f" focussize="0,0"/>
                <v:stroke on="f" weight="0pt"/>
                <v:imagedata o:title=""/>
                <o:lock v:ext="edit" aspectratio="f"/>
                <v:textbox inset="0mm,0mm,0mm,0mm">
                  <w:txbxContent>
                    <w:p>
                      <w:pPr>
                        <w:jc w:val="center"/>
                        <w:rPr>
                          <w:rFonts w:hint="eastAsia" w:eastAsia="宋体"/>
                          <w:lang w:val="en-US" w:eastAsia="zh-CN"/>
                        </w:rPr>
                      </w:pPr>
                      <w:r>
                        <w:rPr>
                          <w:rFonts w:hint="eastAsia" w:eastAsia="宋体"/>
                          <w:lang w:val="en-US" w:eastAsia="zh-CN"/>
                        </w:rPr>
                        <w:t>.</w:t>
                      </w:r>
                    </w:p>
                  </w:txbxContent>
                </v:textbox>
              </v:rect>
            </w:pict>
          </mc:Fallback>
        </mc:AlternateContent>
      </w:r>
      <w:r>
        <w:rPr>
          <w:rFonts w:hint="default" w:ascii="Times New Roman" w:hAnsi="Times New Roman" w:cs="Times New Roman"/>
          <w:color w:val="auto"/>
          <w:highlight w:val="none"/>
        </w:rPr>
        <w:pict>
          <v:shape id="_x0000_s1030" o:spid="_x0000_s1030" style="position:absolute;left:0pt;margin-left:4pt;margin-top:0.7pt;height:0.5pt;width:595.35pt;z-index:251667456;mso-width-relative:page;mso-height-relative:page;" filled="f" stroked="t" coordsize="11906,10" path="m11951,5l-287,5e">
            <v:fill on="f" focussize="0,0"/>
            <v:stroke weight="0.5pt" color="#000000" miterlimit="10" joinstyle="miter" endcap="round"/>
            <v:imagedata o:title=""/>
            <o:lock v:ext="edit"/>
          </v:shape>
        </w:pict>
      </w: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8"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190" w:line="232" w:lineRule="auto"/>
        <w:jc w:val="both"/>
        <w:outlineLvl w:val="0"/>
        <w:rPr>
          <w:rFonts w:hint="eastAsia" w:ascii="方正黑体_GBK" w:hAnsi="方正黑体_GBK" w:eastAsia="方正黑体_GBK" w:cs="方正黑体_GBK"/>
          <w:color w:val="auto"/>
          <w:sz w:val="72"/>
          <w:szCs w:val="72"/>
          <w:highlight w:val="none"/>
        </w:rPr>
      </w:pPr>
      <w:bookmarkStart w:id="11" w:name="bookmark42"/>
      <w:bookmarkEnd w:id="11"/>
      <w:bookmarkStart w:id="12" w:name="_Toc1307376636"/>
      <w:r>
        <w:rPr>
          <w:rFonts w:hint="eastAsia" w:ascii="方正黑体_GBK" w:hAnsi="方正黑体_GBK" w:eastAsia="方正黑体_GBK" w:cs="方正黑体_GBK"/>
          <w:b w:val="0"/>
          <w:bCs w:val="0"/>
          <w:color w:val="auto"/>
          <w:spacing w:val="-1"/>
          <w:sz w:val="72"/>
          <w:szCs w:val="72"/>
          <w:highlight w:val="none"/>
        </w:rPr>
        <w:t>第三部分</w:t>
      </w:r>
      <w:bookmarkEnd w:id="12"/>
      <w:bookmarkStart w:id="13" w:name="_Toc1054484946"/>
      <w:r>
        <w:rPr>
          <w:rFonts w:hint="default" w:ascii="方正黑体_GBK" w:hAnsi="方正黑体_GBK" w:eastAsia="方正黑体_GBK" w:cs="方正黑体_GBK"/>
          <w:b w:val="0"/>
          <w:bCs w:val="0"/>
          <w:color w:val="auto"/>
          <w:spacing w:val="-1"/>
          <w:sz w:val="72"/>
          <w:szCs w:val="72"/>
          <w:highlight w:val="none"/>
          <w:lang w:val="en-US"/>
        </w:rPr>
        <w:pict>
          <v:shape id="_x0000_s1031" o:spid="_x0000_s1031" style="position:absolute;left:0pt;margin-left:0.25pt;margin-top:102.35pt;height:0.5pt;width:595.35pt;z-index:251668480;mso-width-relative:page;mso-height-relative:page;" filled="f" stroked="t" coordsize="11906,10" path="m-287,5l11951,5e">
            <v:fill on="f" focussize="0,0"/>
            <v:stroke weight="0.5pt" color="#000000" miterlimit="10" joinstyle="miter" endcap="round"/>
            <v:imagedata o:title=""/>
            <o:lock v:ext="edit"/>
          </v:shape>
        </w:pict>
      </w:r>
      <w:bookmarkStart w:id="14" w:name="bookmark15"/>
      <w:bookmarkEnd w:id="14"/>
      <w:r>
        <w:rPr>
          <w:rFonts w:hint="eastAsia" w:ascii="方正黑体_GBK" w:hAnsi="方正黑体_GBK" w:eastAsia="方正黑体_GBK" w:cs="方正黑体_GBK"/>
          <w:b w:val="0"/>
          <w:bCs w:val="0"/>
          <w:color w:val="auto"/>
          <w:spacing w:val="-1"/>
          <w:sz w:val="72"/>
          <w:szCs w:val="72"/>
          <w:highlight w:val="none"/>
          <w:lang w:val="en-US" w:eastAsia="zh-CN"/>
        </w:rPr>
        <w:t xml:space="preserve">  </w:t>
      </w:r>
      <w:r>
        <w:rPr>
          <w:rFonts w:hint="eastAsia" w:ascii="方正黑体_GBK" w:hAnsi="方正黑体_GBK" w:eastAsia="方正黑体_GBK" w:cs="方正黑体_GBK"/>
          <w:b w:val="0"/>
          <w:bCs w:val="0"/>
          <w:color w:val="auto"/>
          <w:spacing w:val="-1"/>
          <w:sz w:val="72"/>
          <w:szCs w:val="72"/>
          <w:highlight w:val="none"/>
        </w:rPr>
        <w:t>202</w:t>
      </w:r>
      <w:r>
        <w:rPr>
          <w:rFonts w:hint="eastAsia" w:ascii="方正黑体_GBK" w:hAnsi="方正黑体_GBK" w:eastAsia="方正黑体_GBK" w:cs="方正黑体_GBK"/>
          <w:b w:val="0"/>
          <w:bCs w:val="0"/>
          <w:color w:val="auto"/>
          <w:spacing w:val="-1"/>
          <w:sz w:val="72"/>
          <w:szCs w:val="72"/>
          <w:highlight w:val="none"/>
          <w:lang w:val="en-US" w:eastAsia="zh-CN"/>
        </w:rPr>
        <w:t>5</w:t>
      </w:r>
      <w:r>
        <w:rPr>
          <w:rFonts w:hint="eastAsia" w:ascii="方正黑体_GBK" w:hAnsi="方正黑体_GBK" w:eastAsia="方正黑体_GBK" w:cs="方正黑体_GBK"/>
          <w:b w:val="0"/>
          <w:bCs w:val="0"/>
          <w:color w:val="auto"/>
          <w:spacing w:val="-1"/>
          <w:sz w:val="72"/>
          <w:szCs w:val="72"/>
          <w:highlight w:val="none"/>
        </w:rPr>
        <w:t>年度</w:t>
      </w:r>
      <w:r>
        <w:rPr>
          <w:rFonts w:hint="eastAsia" w:ascii="方正黑体_GBK" w:hAnsi="方正黑体_GBK" w:eastAsia="方正黑体_GBK" w:cs="方正黑体_GBK"/>
          <w:b w:val="0"/>
          <w:bCs w:val="0"/>
          <w:color w:val="auto"/>
          <w:spacing w:val="-1"/>
          <w:sz w:val="72"/>
          <w:szCs w:val="72"/>
          <w:highlight w:val="none"/>
          <w:lang w:eastAsia="zh-CN"/>
        </w:rPr>
        <w:t>经费</w:t>
      </w:r>
      <w:r>
        <w:rPr>
          <w:rFonts w:hint="eastAsia" w:ascii="方正黑体_GBK" w:hAnsi="方正黑体_GBK" w:eastAsia="方正黑体_GBK" w:cs="方正黑体_GBK"/>
          <w:b w:val="0"/>
          <w:bCs w:val="0"/>
          <w:color w:val="auto"/>
          <w:spacing w:val="-1"/>
          <w:sz w:val="72"/>
          <w:szCs w:val="72"/>
          <w:highlight w:val="none"/>
        </w:rPr>
        <w:t>决算情况说明</w:t>
      </w:r>
      <w:bookmarkEnd w:id="13"/>
    </w:p>
    <w:p>
      <w:pPr>
        <w:keepNext w:val="0"/>
        <w:keepLines w:val="0"/>
        <w:pageBreakBefore w:val="0"/>
        <w:widowControl/>
        <w:kinsoku/>
        <w:wordWrap/>
        <w:overflowPunct w:val="0"/>
        <w:topLinePunct w:val="0"/>
        <w:bidi w:val="0"/>
        <w:spacing w:line="231" w:lineRule="auto"/>
        <w:jc w:val="both"/>
        <w:rPr>
          <w:rFonts w:hint="default" w:ascii="Times New Roman" w:hAnsi="Times New Roman" w:eastAsia="方正黑体_GBK" w:cs="Times New Roman"/>
          <w:color w:val="auto"/>
          <w:sz w:val="72"/>
          <w:szCs w:val="72"/>
          <w:highlight w:val="none"/>
        </w:rPr>
        <w:sectPr>
          <w:footerReference r:id="rId10"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kinsoku/>
        <w:wordWrap/>
        <w:overflowPunct w:val="0"/>
        <w:topLinePunct w:val="0"/>
        <w:autoSpaceDE w:val="0"/>
        <w:autoSpaceDN w:val="0"/>
        <w:bidi w:val="0"/>
        <w:adjustRightInd w:val="0"/>
        <w:snapToGrid w:val="0"/>
        <w:spacing w:line="640" w:lineRule="exact"/>
        <w:ind w:left="0" w:firstLine="668" w:firstLineChars="200"/>
        <w:jc w:val="both"/>
        <w:textAlignment w:val="baseline"/>
        <w:outlineLvl w:val="0"/>
        <w:rPr>
          <w:rFonts w:hint="default" w:ascii="Times New Roman" w:hAnsi="Times New Roman" w:eastAsia="方正黑体_GBK" w:cs="Times New Roman"/>
          <w:color w:val="auto"/>
          <w:sz w:val="32"/>
          <w:szCs w:val="32"/>
          <w:highlight w:val="none"/>
        </w:rPr>
      </w:pPr>
      <w:bookmarkStart w:id="15" w:name="_Toc631281580"/>
      <w:r>
        <w:rPr>
          <w:rFonts w:hint="default" w:ascii="Times New Roman" w:hAnsi="Times New Roman" w:eastAsia="方正黑体_GBK" w:cs="Times New Roman"/>
          <w:color w:val="auto"/>
          <w:spacing w:val="7"/>
          <w:sz w:val="32"/>
          <w:szCs w:val="32"/>
          <w:highlight w:val="none"/>
        </w:rPr>
        <w:t>一、收入支出决算总体情况说明</w:t>
      </w:r>
      <w:bookmarkEnd w:id="15"/>
    </w:p>
    <w:p>
      <w:pPr>
        <w:keepNext w:val="0"/>
        <w:keepLines w:val="0"/>
        <w:pageBreakBefore w:val="0"/>
        <w:widowControl/>
        <w:kinsoku/>
        <w:wordWrap/>
        <w:overflowPunct w:val="0"/>
        <w:topLinePunct w:val="0"/>
        <w:autoSpaceDE w:val="0"/>
        <w:autoSpaceDN w:val="0"/>
        <w:bidi w:val="0"/>
        <w:adjustRightInd w:val="0"/>
        <w:snapToGrid w:val="0"/>
        <w:spacing w:line="640" w:lineRule="exact"/>
        <w:ind w:left="0" w:firstLine="627"/>
        <w:jc w:val="both"/>
        <w:textAlignment w:val="baseline"/>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pacing w:val="2"/>
          <w:sz w:val="32"/>
          <w:szCs w:val="32"/>
          <w:highlight w:val="none"/>
          <w:lang w:val="en-US" w:eastAsia="zh-CN"/>
        </w:rPr>
        <w:t>桂东县消防救援大队</w:t>
      </w:r>
      <w:r>
        <w:rPr>
          <w:rFonts w:hint="default" w:ascii="Times New Roman" w:hAnsi="Times New Roman" w:eastAsia="方正仿宋_GBK" w:cs="Times New Roman"/>
          <w:color w:val="auto"/>
          <w:spacing w:val="2"/>
          <w:sz w:val="32"/>
          <w:szCs w:val="32"/>
          <w:highlight w:val="none"/>
          <w:lang w:val="en-US" w:eastAsia="zh-CN"/>
        </w:rPr>
        <w:t>收入支出决算包括国家综合性消防救援队伍及负责管理的政府专职消防队收入支出。2025年度收、支</w:t>
      </w:r>
      <w:r>
        <w:rPr>
          <w:rFonts w:hint="eastAsia" w:ascii="Times New Roman" w:hAnsi="Times New Roman" w:eastAsia="方正仿宋_GBK" w:cs="Times New Roman"/>
          <w:color w:val="auto"/>
          <w:spacing w:val="2"/>
          <w:sz w:val="32"/>
          <w:szCs w:val="32"/>
          <w:highlight w:val="none"/>
          <w:lang w:val="en-US" w:eastAsia="zh-CN"/>
        </w:rPr>
        <w:t>总额均</w:t>
      </w:r>
      <w:r>
        <w:rPr>
          <w:rFonts w:hint="default" w:ascii="Times New Roman" w:hAnsi="Times New Roman" w:eastAsia="方正仿宋_GBK" w:cs="Times New Roman"/>
          <w:color w:val="auto"/>
          <w:spacing w:val="2"/>
          <w:sz w:val="32"/>
          <w:szCs w:val="32"/>
          <w:highlight w:val="none"/>
          <w:lang w:val="en-US" w:eastAsia="zh-CN"/>
        </w:rPr>
        <w:t>为1,407.55</w:t>
      </w:r>
      <w:r>
        <w:rPr>
          <w:rFonts w:hint="default" w:ascii="Times New Roman" w:hAnsi="Times New Roman" w:eastAsia="方正仿宋_GBK" w:cs="Times New Roman"/>
          <w:color w:val="auto"/>
          <w:spacing w:val="8"/>
          <w:sz w:val="31"/>
          <w:szCs w:val="31"/>
          <w:highlight w:val="none"/>
          <w:lang w:val="en-US" w:eastAsia="zh-CN"/>
        </w:rPr>
        <w:t>万</w:t>
      </w:r>
      <w:r>
        <w:rPr>
          <w:rFonts w:hint="default" w:ascii="Times New Roman" w:hAnsi="Times New Roman" w:eastAsia="方正仿宋_GBK" w:cs="Times New Roman"/>
          <w:color w:val="auto"/>
          <w:spacing w:val="2"/>
          <w:sz w:val="31"/>
          <w:szCs w:val="31"/>
          <w:highlight w:val="none"/>
        </w:rPr>
        <w:t>元</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"bookmark43" </w:instrText>
      </w:r>
      <w:r>
        <w:rPr>
          <w:rFonts w:hint="default" w:ascii="Times New Roman" w:hAnsi="Times New Roman" w:cs="Times New Roman"/>
          <w:color w:val="auto"/>
          <w:highlight w:val="none"/>
        </w:rPr>
        <w:fldChar w:fldCharType="separate"/>
      </w:r>
      <w:r>
        <w:rPr>
          <w:rFonts w:hint="default" w:ascii="Times New Roman" w:hAnsi="Times New Roman" w:eastAsia="Times New Roman" w:cs="Times New Roman"/>
          <w:color w:val="auto"/>
          <w:spacing w:val="2"/>
          <w:position w:val="14"/>
          <w:sz w:val="21"/>
          <w:szCs w:val="21"/>
          <w:highlight w:val="none"/>
        </w:rPr>
        <w:t>1</w:t>
      </w:r>
      <w:r>
        <w:rPr>
          <w:rFonts w:hint="default" w:ascii="Times New Roman" w:hAnsi="Times New Roman" w:eastAsia="Times New Roman" w:cs="Times New Roman"/>
          <w:color w:val="auto"/>
          <w:spacing w:val="2"/>
          <w:position w:val="14"/>
          <w:sz w:val="21"/>
          <w:szCs w:val="21"/>
          <w:highlight w:val="none"/>
        </w:rPr>
        <w:fldChar w:fldCharType="end"/>
      </w:r>
      <w:r>
        <w:rPr>
          <w:rFonts w:hint="default" w:ascii="Times New Roman" w:hAnsi="Times New Roman" w:eastAsia="方正仿宋_GBK" w:cs="Times New Roman"/>
          <w:color w:val="auto"/>
          <w:spacing w:val="2"/>
          <w:sz w:val="32"/>
          <w:szCs w:val="32"/>
          <w:highlight w:val="none"/>
          <w:lang w:val="en-US" w:eastAsia="zh-CN"/>
        </w:rPr>
        <w:t>。与2024年度相比，收、支</w:t>
      </w:r>
      <w:r>
        <w:rPr>
          <w:rFonts w:hint="eastAsia" w:ascii="Times New Roman" w:hAnsi="Times New Roman" w:eastAsia="方正仿宋_GBK" w:cs="Times New Roman"/>
          <w:color w:val="auto"/>
          <w:spacing w:val="2"/>
          <w:sz w:val="32"/>
          <w:szCs w:val="32"/>
          <w:highlight w:val="none"/>
          <w:lang w:val="en-US" w:eastAsia="zh-CN"/>
        </w:rPr>
        <w:t>总额均增加190.43</w:t>
      </w:r>
      <w:r>
        <w:rPr>
          <w:rFonts w:hint="default" w:ascii="Times New Roman" w:hAnsi="Times New Roman" w:eastAsia="方正仿宋_GBK" w:cs="Times New Roman"/>
          <w:color w:val="auto"/>
          <w:spacing w:val="2"/>
          <w:sz w:val="32"/>
          <w:szCs w:val="32"/>
          <w:highlight w:val="none"/>
          <w:lang w:val="en-US" w:eastAsia="zh-CN"/>
        </w:rPr>
        <w:t>万元，</w:t>
      </w:r>
      <w:r>
        <w:rPr>
          <w:rFonts w:hint="eastAsia" w:ascii="Times New Roman" w:hAnsi="Times New Roman" w:eastAsia="方正仿宋_GBK" w:cs="Times New Roman"/>
          <w:color w:val="auto"/>
          <w:spacing w:val="2"/>
          <w:sz w:val="32"/>
          <w:szCs w:val="32"/>
          <w:highlight w:val="none"/>
          <w:lang w:val="en-US" w:eastAsia="zh-CN"/>
        </w:rPr>
        <w:t>增长15.65</w:t>
      </w:r>
      <w:r>
        <w:rPr>
          <w:rFonts w:hint="default" w:ascii="Times New Roman" w:hAnsi="Times New Roman" w:eastAsia="方正仿宋_GBK" w:cs="Times New Roman"/>
          <w:color w:val="auto"/>
          <w:spacing w:val="2"/>
          <w:sz w:val="32"/>
          <w:szCs w:val="32"/>
          <w:highlight w:val="none"/>
          <w:lang w:val="en-US" w:eastAsia="zh-CN"/>
        </w:rPr>
        <w:t>%，</w:t>
      </w:r>
      <w:r>
        <w:rPr>
          <w:rFonts w:hint="eastAsia" w:ascii="Times New Roman" w:hAnsi="Times New Roman" w:eastAsia="方正仿宋_GBK" w:cs="Times New Roman"/>
          <w:color w:val="auto"/>
          <w:spacing w:val="2"/>
          <w:sz w:val="32"/>
          <w:szCs w:val="32"/>
          <w:highlight w:val="none"/>
          <w:lang w:val="en-US" w:eastAsia="zh-CN"/>
        </w:rPr>
        <w:t>增加</w:t>
      </w:r>
      <w:r>
        <w:rPr>
          <w:rFonts w:hint="default" w:ascii="Times New Roman" w:hAnsi="Times New Roman" w:eastAsia="方正仿宋_GBK" w:cs="Times New Roman"/>
          <w:color w:val="auto"/>
          <w:spacing w:val="8"/>
          <w:sz w:val="32"/>
          <w:szCs w:val="32"/>
          <w:highlight w:val="none"/>
        </w:rPr>
        <w:t>的</w:t>
      </w:r>
      <w:r>
        <w:rPr>
          <w:rFonts w:hint="eastAsia" w:ascii="Times New Roman" w:hAnsi="Times New Roman" w:eastAsia="方正仿宋_GBK" w:cs="Times New Roman"/>
          <w:color w:val="auto"/>
          <w:spacing w:val="8"/>
          <w:sz w:val="32"/>
          <w:szCs w:val="32"/>
          <w:highlight w:val="none"/>
          <w:lang w:eastAsia="zh-CN"/>
        </w:rPr>
        <w:t>主要</w:t>
      </w:r>
      <w:r>
        <w:rPr>
          <w:rFonts w:hint="default" w:ascii="Times New Roman" w:hAnsi="Times New Roman" w:eastAsia="方正仿宋_GBK" w:cs="Times New Roman"/>
          <w:color w:val="auto"/>
          <w:spacing w:val="8"/>
          <w:sz w:val="32"/>
          <w:szCs w:val="32"/>
          <w:highlight w:val="none"/>
        </w:rPr>
        <w:t>原</w:t>
      </w:r>
      <w:r>
        <w:rPr>
          <w:rFonts w:hint="default" w:ascii="Times New Roman" w:hAnsi="Times New Roman" w:eastAsia="方正仿宋_GBK" w:cs="Times New Roman"/>
          <w:color w:val="auto"/>
          <w:spacing w:val="5"/>
          <w:sz w:val="32"/>
          <w:szCs w:val="32"/>
          <w:highlight w:val="none"/>
        </w:rPr>
        <w:t>因</w:t>
      </w:r>
      <w:r>
        <w:rPr>
          <w:rFonts w:hint="eastAsia" w:ascii="Times New Roman" w:hAnsi="Times New Roman" w:eastAsia="方正仿宋_GBK" w:cs="Times New Roman"/>
          <w:color w:val="auto"/>
          <w:spacing w:val="5"/>
          <w:sz w:val="32"/>
          <w:szCs w:val="32"/>
          <w:highlight w:val="none"/>
          <w:lang w:eastAsia="zh-CN"/>
        </w:rPr>
        <w:t>：一</w:t>
      </w:r>
      <w:r>
        <w:rPr>
          <w:rFonts w:hint="default" w:ascii="Times New Roman" w:hAnsi="Times New Roman" w:eastAsia="方正仿宋_GBK" w:cs="Times New Roman"/>
          <w:color w:val="auto"/>
          <w:spacing w:val="5"/>
          <w:sz w:val="32"/>
          <w:szCs w:val="32"/>
          <w:highlight w:val="none"/>
        </w:rPr>
        <w:t>是沙田</w:t>
      </w:r>
      <w:r>
        <w:rPr>
          <w:rFonts w:hint="eastAsia" w:ascii="Times New Roman" w:hAnsi="Times New Roman" w:eastAsia="方正仿宋_GBK" w:cs="Times New Roman"/>
          <w:color w:val="auto"/>
          <w:spacing w:val="5"/>
          <w:sz w:val="32"/>
          <w:szCs w:val="32"/>
          <w:highlight w:val="none"/>
          <w:lang w:eastAsia="zh-CN"/>
        </w:rPr>
        <w:t>政府专职</w:t>
      </w:r>
      <w:r>
        <w:rPr>
          <w:rFonts w:hint="default" w:ascii="Times New Roman" w:hAnsi="Times New Roman" w:eastAsia="方正仿宋_GBK" w:cs="Times New Roman"/>
          <w:color w:val="auto"/>
          <w:spacing w:val="5"/>
          <w:sz w:val="32"/>
          <w:szCs w:val="32"/>
          <w:highlight w:val="none"/>
        </w:rPr>
        <w:t>消防站在2024年底</w:t>
      </w:r>
      <w:r>
        <w:rPr>
          <w:rFonts w:hint="eastAsia" w:ascii="Times New Roman" w:hAnsi="Times New Roman" w:eastAsia="方正仿宋_GBK" w:cs="Times New Roman"/>
          <w:color w:val="auto"/>
          <w:spacing w:val="5"/>
          <w:sz w:val="32"/>
          <w:szCs w:val="32"/>
          <w:highlight w:val="none"/>
          <w:lang w:eastAsia="zh-CN"/>
        </w:rPr>
        <w:t>正式</w:t>
      </w:r>
      <w:r>
        <w:rPr>
          <w:rFonts w:hint="default" w:ascii="Times New Roman" w:hAnsi="Times New Roman" w:eastAsia="方正仿宋_GBK" w:cs="Times New Roman"/>
          <w:color w:val="auto"/>
          <w:spacing w:val="5"/>
          <w:sz w:val="32"/>
          <w:szCs w:val="32"/>
          <w:highlight w:val="none"/>
        </w:rPr>
        <w:t>投入执勤</w:t>
      </w:r>
      <w:r>
        <w:rPr>
          <w:rFonts w:hint="eastAsia" w:ascii="Times New Roman" w:hAnsi="Times New Roman" w:eastAsia="方正仿宋_GBK" w:cs="Times New Roman"/>
          <w:color w:val="auto"/>
          <w:spacing w:val="5"/>
          <w:sz w:val="32"/>
          <w:szCs w:val="32"/>
          <w:highlight w:val="none"/>
          <w:lang w:eastAsia="zh-CN"/>
        </w:rPr>
        <w:t>，日常运行保障经费相应新增；二是</w:t>
      </w:r>
      <w:r>
        <w:rPr>
          <w:rFonts w:hint="eastAsia" w:ascii="Times New Roman" w:hAnsi="Times New Roman" w:eastAsia="方正仿宋_GBK" w:cs="Times New Roman"/>
          <w:color w:val="auto"/>
          <w:spacing w:val="5"/>
          <w:sz w:val="32"/>
          <w:szCs w:val="32"/>
          <w:highlight w:val="none"/>
          <w:lang w:val="en-US" w:eastAsia="zh-CN"/>
        </w:rPr>
        <w:t>2025年按编制足额招录政府专职消防员，</w:t>
      </w:r>
      <w:r>
        <w:rPr>
          <w:rFonts w:hint="default" w:ascii="Times New Roman" w:hAnsi="Times New Roman" w:eastAsia="方正仿宋_GBK" w:cs="Times New Roman"/>
          <w:color w:val="auto"/>
          <w:spacing w:val="5"/>
          <w:sz w:val="32"/>
          <w:szCs w:val="32"/>
          <w:highlight w:val="none"/>
        </w:rPr>
        <w:t>政府专职消防员保障经费</w:t>
      </w:r>
      <w:r>
        <w:rPr>
          <w:rFonts w:hint="eastAsia" w:ascii="Times New Roman" w:hAnsi="Times New Roman" w:eastAsia="方正仿宋_GBK" w:cs="Times New Roman"/>
          <w:color w:val="auto"/>
          <w:spacing w:val="5"/>
          <w:sz w:val="32"/>
          <w:szCs w:val="32"/>
          <w:highlight w:val="none"/>
          <w:lang w:eastAsia="zh-CN"/>
        </w:rPr>
        <w:t>大幅提升</w:t>
      </w:r>
      <w:r>
        <w:rPr>
          <w:rFonts w:hint="default" w:ascii="Times New Roman" w:hAnsi="Times New Roman" w:eastAsia="方正仿宋_GBK" w:cs="Times New Roman"/>
          <w:color w:val="auto"/>
          <w:spacing w:val="5"/>
          <w:sz w:val="32"/>
          <w:szCs w:val="32"/>
          <w:highlight w:val="none"/>
          <w:lang w:val="en-US" w:eastAsia="zh-CN"/>
        </w:rPr>
        <w:t>。</w:t>
      </w:r>
    </w:p>
    <w:p>
      <w:pPr>
        <w:pStyle w:val="5"/>
        <w:keepNext w:val="0"/>
        <w:keepLines w:val="0"/>
        <w:pageBreakBefore w:val="0"/>
        <w:widowControl/>
        <w:kinsoku/>
        <w:wordWrap/>
        <w:overflowPunct w:val="0"/>
        <w:topLinePunct w:val="0"/>
        <w:bidi w:val="0"/>
        <w:spacing w:line="382"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113" w:line="236" w:lineRule="auto"/>
        <w:jc w:val="center"/>
        <w:outlineLvl w:val="9"/>
        <w:rPr>
          <w:rFonts w:hint="default" w:ascii="Times New Roman" w:hAnsi="Times New Roman" w:eastAsia="方正黑体_GBK" w:cs="Times New Roman"/>
          <w:color w:val="auto"/>
          <w:spacing w:val="7"/>
          <w:sz w:val="31"/>
          <w:szCs w:val="31"/>
          <w:highlight w:val="none"/>
        </w:rPr>
      </w:pPr>
      <w:r>
        <w:drawing>
          <wp:inline distT="0" distB="0" distL="114300" distR="114300">
            <wp:extent cx="4572000" cy="3048000"/>
            <wp:effectExtent l="4445" t="4445" r="14605" b="14605"/>
            <wp:docPr id="105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keepNext w:val="0"/>
        <w:keepLines w:val="0"/>
        <w:pageBreakBefore w:val="0"/>
        <w:widowControl/>
        <w:kinsoku/>
        <w:wordWrap/>
        <w:overflowPunct w:val="0"/>
        <w:topLinePunct w:val="0"/>
        <w:bidi w:val="0"/>
        <w:spacing w:before="113" w:line="236" w:lineRule="auto"/>
        <w:jc w:val="both"/>
        <w:outlineLvl w:val="9"/>
        <w:rPr>
          <w:rFonts w:hint="default" w:ascii="Times New Roman" w:hAnsi="Times New Roman" w:eastAsia="方正黑体_GBK" w:cs="Times New Roman"/>
          <w:color w:val="auto"/>
          <w:spacing w:val="7"/>
          <w:sz w:val="31"/>
          <w:szCs w:val="31"/>
          <w:highlight w:val="none"/>
        </w:rPr>
      </w:pPr>
    </w:p>
    <w:p>
      <w:pPr>
        <w:keepNext w:val="0"/>
        <w:keepLines w:val="0"/>
        <w:pageBreakBefore w:val="0"/>
        <w:widowControl/>
        <w:kinsoku/>
        <w:wordWrap/>
        <w:overflowPunct w:val="0"/>
        <w:topLinePunct w:val="0"/>
        <w:bidi w:val="0"/>
        <w:spacing w:before="113" w:line="236" w:lineRule="auto"/>
        <w:jc w:val="both"/>
        <w:outlineLvl w:val="9"/>
        <w:rPr>
          <w:rFonts w:hint="default" w:ascii="Times New Roman" w:hAnsi="Times New Roman" w:eastAsia="方正黑体_GBK" w:cs="Times New Roman"/>
          <w:color w:val="auto"/>
          <w:spacing w:val="7"/>
          <w:sz w:val="31"/>
          <w:szCs w:val="31"/>
          <w:highlight w:val="none"/>
        </w:rPr>
      </w:pPr>
    </w:p>
    <w:p>
      <w:pPr>
        <w:keepNext w:val="0"/>
        <w:keepLines w:val="0"/>
        <w:pageBreakBefore w:val="0"/>
        <w:widowControl/>
        <w:kinsoku/>
        <w:wordWrap/>
        <w:overflowPunct w:val="0"/>
        <w:topLinePunct w:val="0"/>
        <w:bidi w:val="0"/>
        <w:spacing w:before="113" w:line="236" w:lineRule="auto"/>
        <w:jc w:val="both"/>
        <w:outlineLvl w:val="9"/>
        <w:rPr>
          <w:rFonts w:hint="default" w:ascii="Times New Roman" w:hAnsi="Times New Roman" w:eastAsia="方正黑体_GBK" w:cs="Times New Roman"/>
          <w:color w:val="auto"/>
          <w:spacing w:val="7"/>
          <w:sz w:val="31"/>
          <w:szCs w:val="31"/>
          <w:highlight w:val="none"/>
        </w:rPr>
      </w:pPr>
    </w:p>
    <w:p>
      <w:pPr>
        <w:keepNext w:val="0"/>
        <w:keepLines w:val="0"/>
        <w:pageBreakBefore w:val="0"/>
        <w:widowControl/>
        <w:kinsoku/>
        <w:wordWrap/>
        <w:overflowPunct w:val="0"/>
        <w:topLinePunct w:val="0"/>
        <w:bidi w:val="0"/>
        <w:spacing w:before="113" w:line="236" w:lineRule="auto"/>
        <w:jc w:val="both"/>
        <w:outlineLvl w:val="9"/>
        <w:rPr>
          <w:rFonts w:hint="default" w:ascii="Times New Roman" w:hAnsi="Times New Roman" w:eastAsia="方正黑体_GBK" w:cs="Times New Roman"/>
          <w:color w:val="auto"/>
          <w:spacing w:val="7"/>
          <w:sz w:val="31"/>
          <w:szCs w:val="31"/>
          <w:highlight w:val="none"/>
        </w:rPr>
      </w:pPr>
    </w:p>
    <w:p>
      <w:pPr>
        <w:pStyle w:val="5"/>
        <w:keepNext w:val="0"/>
        <w:keepLines w:val="0"/>
        <w:pageBreakBefore w:val="0"/>
        <w:widowControl/>
        <w:kinsoku/>
        <w:wordWrap/>
        <w:overflowPunct w:val="0"/>
        <w:topLinePunct w:val="0"/>
        <w:autoSpaceDE w:val="0"/>
        <w:autoSpaceDN w:val="0"/>
        <w:bidi w:val="0"/>
        <w:adjustRightInd w:val="0"/>
        <w:snapToGrid w:val="0"/>
        <w:spacing w:line="640" w:lineRule="exact"/>
        <w:jc w:val="both"/>
        <w:textAlignment w:val="baseline"/>
        <w:rPr>
          <w:rFonts w:hint="default" w:ascii="Times New Roman" w:hAnsi="Times New Roman" w:eastAsia="仿宋" w:cs="Times New Roman"/>
          <w:color w:val="auto"/>
          <w:spacing w:val="-1"/>
          <w:sz w:val="18"/>
          <w:szCs w:val="18"/>
          <w:highlight w:val="none"/>
        </w:rPr>
        <w:sectPr>
          <w:footerReference r:id="rId11"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color w:val="auto"/>
          <w:highlight w:val="none"/>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81280</wp:posOffset>
                </wp:positionV>
                <wp:extent cx="1829435" cy="6350"/>
                <wp:effectExtent l="0" t="0" r="0" b="0"/>
                <wp:wrapNone/>
                <wp:docPr id="2" name="任意多边形 2"/>
                <wp:cNvGraphicFramePr/>
                <a:graphic xmlns:a="http://schemas.openxmlformats.org/drawingml/2006/main">
                  <a:graphicData uri="http://schemas.microsoft.com/office/word/2010/wordprocessingShape">
                    <wps:wsp>
                      <wps:cNvSpPr/>
                      <wps:spPr>
                        <a:xfrm>
                          <a:off x="0" y="0"/>
                          <a:ext cx="1829435" cy="6350"/>
                        </a:xfrm>
                        <a:custGeom>
                          <a:avLst/>
                          <a:gdLst/>
                          <a:ahLst/>
                          <a:cxnLst/>
                          <a:pathLst>
                            <a:path w="2881" h="10">
                              <a:moveTo>
                                <a:pt x="0" y="9"/>
                              </a:moveTo>
                              <a:lnTo>
                                <a:pt x="2880" y="9"/>
                              </a:lnTo>
                              <a:lnTo>
                                <a:pt x="2880" y="0"/>
                              </a:lnTo>
                              <a:lnTo>
                                <a:pt x="0" y="0"/>
                              </a:lnTo>
                              <a:lnTo>
                                <a:pt x="0" y="9"/>
                              </a:lnTo>
                              <a:close/>
                            </a:path>
                          </a:pathLst>
                        </a:custGeom>
                        <a:solidFill>
                          <a:srgbClr val="000000"/>
                        </a:solidFill>
                        <a:ln>
                          <a:noFill/>
                        </a:ln>
                      </wps:spPr>
                      <wps:bodyPr upright="true"/>
                    </wps:wsp>
                  </a:graphicData>
                </a:graphic>
              </wp:anchor>
            </w:drawing>
          </mc:Choice>
          <mc:Fallback>
            <w:pict>
              <v:shape id="_x0000_s1026" o:spid="_x0000_s1026" o:spt="100" style="position:absolute;left:0pt;margin-left:0pt;margin-top:6.4pt;height:0.5pt;width:144.05pt;z-index:251676672;mso-width-relative:page;mso-height-relative:page;" fillcolor="#000000" filled="t" stroked="f" coordsize="2881,10" o:gfxdata="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MYznidQAAAAGAQAADwAAAAAAAAABACAAAAA4&#10;AAAAZHJzL2Rvd25yZXYueG1sUEsBAhQAFAAAAAgAh07iQC71+Sb4AQAALgQAAA4AAAAAAAAAAQAg&#10;AAAAOQEAAGRycy9lMm9Eb2MueG1sUEsFBgAAAAAGAAYAWQEAAKMFAAAAAA==&#10;" path="m0,9l2880,9,2880,0,0,0,0,9xe">
                <v:fill on="t" focussize="0,0"/>
                <v:stroke on="f"/>
                <v:imagedata o:title=""/>
                <o:lock v:ext="edit" aspectratio="f"/>
              </v:shape>
            </w:pict>
          </mc:Fallback>
        </mc:AlternateContent>
      </w:r>
      <w:bookmarkStart w:id="16" w:name="bookmark43"/>
      <w:bookmarkEnd w:id="16"/>
      <w:r>
        <w:rPr>
          <w:rFonts w:hint="default" w:ascii="Times New Roman" w:hAnsi="Times New Roman" w:eastAsia="宋体" w:cs="Times New Roman"/>
          <w:color w:val="auto"/>
          <w:position w:val="9"/>
          <w:sz w:val="9"/>
          <w:szCs w:val="9"/>
          <w:highlight w:val="none"/>
        </w:rPr>
        <w:t>1</w:t>
      </w:r>
      <w:r>
        <w:rPr>
          <w:rFonts w:hint="default" w:ascii="Times New Roman" w:hAnsi="Times New Roman" w:eastAsia="仿宋" w:cs="Times New Roman"/>
          <w:color w:val="auto"/>
          <w:sz w:val="18"/>
          <w:szCs w:val="18"/>
          <w:highlight w:val="none"/>
        </w:rPr>
        <w:t>数据来自部门决算批复表，批复表金额单位转换时可能</w:t>
      </w:r>
      <w:r>
        <w:rPr>
          <w:rFonts w:hint="default" w:ascii="Times New Roman" w:hAnsi="Times New Roman" w:eastAsia="仿宋" w:cs="Times New Roman"/>
          <w:color w:val="auto"/>
          <w:spacing w:val="-1"/>
          <w:sz w:val="18"/>
          <w:szCs w:val="18"/>
          <w:highlight w:val="none"/>
        </w:rPr>
        <w:t>存在尾数误差，下同。</w:t>
      </w:r>
    </w:p>
    <w:p>
      <w:pPr>
        <w:keepNext w:val="0"/>
        <w:keepLines w:val="0"/>
        <w:pageBreakBefore w:val="0"/>
        <w:widowControl/>
        <w:kinsoku/>
        <w:wordWrap/>
        <w:overflowPunct w:val="0"/>
        <w:topLinePunct w:val="0"/>
        <w:autoSpaceDE w:val="0"/>
        <w:autoSpaceDN w:val="0"/>
        <w:bidi w:val="0"/>
        <w:adjustRightInd w:val="0"/>
        <w:snapToGrid w:val="0"/>
        <w:spacing w:line="640" w:lineRule="exact"/>
        <w:ind w:left="0" w:firstLine="627"/>
        <w:jc w:val="both"/>
        <w:textAlignment w:val="baseline"/>
        <w:outlineLvl w:val="0"/>
        <w:rPr>
          <w:rFonts w:hint="eastAsia" w:ascii="方正黑体_GBK" w:hAnsi="方正黑体_GBK" w:eastAsia="方正黑体_GBK" w:cs="方正黑体_GBK"/>
          <w:color w:val="auto"/>
          <w:spacing w:val="2"/>
          <w:sz w:val="32"/>
          <w:szCs w:val="32"/>
          <w:highlight w:val="none"/>
          <w:lang w:val="en-US" w:eastAsia="zh-CN"/>
        </w:rPr>
      </w:pPr>
      <w:bookmarkStart w:id="17" w:name="_Toc1943210716"/>
      <w:r>
        <w:rPr>
          <w:rFonts w:hint="eastAsia" w:ascii="方正黑体_GBK" w:hAnsi="方正黑体_GBK" w:eastAsia="方正黑体_GBK" w:cs="方正黑体_GBK"/>
          <w:color w:val="auto"/>
          <w:spacing w:val="2"/>
          <w:sz w:val="32"/>
          <w:szCs w:val="32"/>
          <w:highlight w:val="none"/>
          <w:lang w:val="en-US" w:eastAsia="zh-CN"/>
        </w:rPr>
        <w:t>二、收入决算情况说明</w:t>
      </w:r>
      <w:bookmarkEnd w:id="17"/>
    </w:p>
    <w:p>
      <w:pPr>
        <w:keepNext w:val="0"/>
        <w:keepLines w:val="0"/>
        <w:pageBreakBefore w:val="0"/>
        <w:widowControl/>
        <w:kinsoku/>
        <w:wordWrap/>
        <w:overflowPunct w:val="0"/>
        <w:topLinePunct w:val="0"/>
        <w:autoSpaceDE w:val="0"/>
        <w:autoSpaceDN w:val="0"/>
        <w:bidi w:val="0"/>
        <w:adjustRightInd w:val="0"/>
        <w:snapToGrid w:val="0"/>
        <w:spacing w:line="640" w:lineRule="exact"/>
        <w:ind w:left="0" w:firstLine="629"/>
        <w:jc w:val="both"/>
        <w:textAlignment w:val="baseline"/>
        <w:rPr>
          <w:rFonts w:hint="default" w:ascii="Times New Roman" w:hAnsi="Times New Roman" w:eastAsia="方正仿宋_GBK" w:cs="Times New Roman"/>
          <w:color w:val="auto"/>
          <w:spacing w:val="2"/>
          <w:sz w:val="32"/>
          <w:szCs w:val="32"/>
          <w:highlight w:val="none"/>
          <w:lang w:val="en-US" w:eastAsia="zh-CN"/>
        </w:rPr>
      </w:pPr>
      <w:r>
        <w:rPr>
          <w:rFonts w:hint="default" w:ascii="Times New Roman" w:hAnsi="Times New Roman" w:eastAsia="方正仿宋_GBK" w:cs="Times New Roman"/>
          <w:color w:val="auto"/>
          <w:spacing w:val="2"/>
          <w:sz w:val="32"/>
          <w:szCs w:val="32"/>
          <w:highlight w:val="none"/>
          <w:lang w:val="en-US" w:eastAsia="zh-CN"/>
        </w:rPr>
        <w:t>2025年度收入合计1,091.53万元，其中：财政拨款收入48.24万元，占</w:t>
      </w:r>
      <w:r>
        <w:rPr>
          <w:rFonts w:hint="eastAsia" w:ascii="Times New Roman" w:hAnsi="Times New Roman" w:eastAsia="方正仿宋_GBK" w:cs="Times New Roman"/>
          <w:color w:val="auto"/>
          <w:spacing w:val="2"/>
          <w:sz w:val="32"/>
          <w:szCs w:val="32"/>
          <w:highlight w:val="none"/>
          <w:lang w:val="en-US" w:eastAsia="zh-CN"/>
        </w:rPr>
        <w:t>4.42</w:t>
      </w:r>
      <w:r>
        <w:rPr>
          <w:rFonts w:hint="default" w:ascii="Times New Roman" w:hAnsi="Times New Roman" w:eastAsia="方正仿宋_GBK" w:cs="Times New Roman"/>
          <w:color w:val="auto"/>
          <w:spacing w:val="2"/>
          <w:sz w:val="32"/>
          <w:szCs w:val="32"/>
          <w:highlight w:val="none"/>
          <w:lang w:val="en-US" w:eastAsia="zh-CN"/>
        </w:rPr>
        <w:t>%；其他收入1,043.29万元，占</w:t>
      </w:r>
      <w:r>
        <w:rPr>
          <w:rFonts w:hint="eastAsia" w:ascii="Times New Roman" w:hAnsi="Times New Roman" w:eastAsia="方正仿宋_GBK" w:cs="Times New Roman"/>
          <w:color w:val="auto"/>
          <w:spacing w:val="2"/>
          <w:sz w:val="32"/>
          <w:szCs w:val="32"/>
          <w:highlight w:val="none"/>
          <w:lang w:val="en-US" w:eastAsia="zh-CN"/>
        </w:rPr>
        <w:t>95.58</w:t>
      </w:r>
      <w:r>
        <w:rPr>
          <w:rFonts w:hint="default" w:ascii="Times New Roman" w:hAnsi="Times New Roman" w:eastAsia="方正仿宋_GBK" w:cs="Times New Roman"/>
          <w:color w:val="auto"/>
          <w:spacing w:val="2"/>
          <w:sz w:val="32"/>
          <w:szCs w:val="32"/>
          <w:highlight w:val="none"/>
          <w:lang w:val="en-US" w:eastAsia="zh-CN"/>
        </w:rPr>
        <w:t>%。</w:t>
      </w:r>
    </w:p>
    <w:p>
      <w:pPr>
        <w:keepNext w:val="0"/>
        <w:keepLines w:val="0"/>
        <w:pageBreakBefore w:val="0"/>
        <w:widowControl/>
        <w:kinsoku/>
        <w:wordWrap/>
        <w:overflowPunct w:val="0"/>
        <w:topLinePunct w:val="0"/>
        <w:bidi w:val="0"/>
        <w:spacing w:before="71" w:line="236" w:lineRule="auto"/>
        <w:jc w:val="center"/>
        <w:outlineLvl w:val="9"/>
        <w:rPr>
          <w:rFonts w:hint="default" w:ascii="Times New Roman" w:hAnsi="Times New Roman" w:eastAsia="方正黑体_GBK" w:cs="Times New Roman"/>
          <w:color w:val="auto"/>
          <w:spacing w:val="7"/>
          <w:sz w:val="31"/>
          <w:szCs w:val="31"/>
          <w:highlight w:val="none"/>
        </w:rPr>
      </w:pPr>
      <w:r>
        <w:drawing>
          <wp:inline distT="0" distB="0" distL="114300" distR="114300">
            <wp:extent cx="4572000" cy="2743200"/>
            <wp:effectExtent l="4445" t="4445" r="14605" b="1460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keepNext w:val="0"/>
        <w:keepLines w:val="0"/>
        <w:pageBreakBefore w:val="0"/>
        <w:widowControl/>
        <w:kinsoku/>
        <w:wordWrap/>
        <w:overflowPunct w:val="0"/>
        <w:topLinePunct w:val="0"/>
        <w:bidi w:val="0"/>
        <w:spacing w:before="71" w:line="236" w:lineRule="auto"/>
        <w:jc w:val="both"/>
        <w:outlineLvl w:val="9"/>
        <w:rPr>
          <w:rFonts w:hint="default" w:ascii="Times New Roman" w:hAnsi="Times New Roman" w:eastAsia="方正黑体_GBK" w:cs="Times New Roman"/>
          <w:color w:val="auto"/>
          <w:spacing w:val="7"/>
          <w:sz w:val="31"/>
          <w:szCs w:val="31"/>
          <w:highlight w:val="none"/>
        </w:rPr>
      </w:pPr>
    </w:p>
    <w:p>
      <w:pPr>
        <w:keepNext w:val="0"/>
        <w:keepLines w:val="0"/>
        <w:pageBreakBefore w:val="0"/>
        <w:widowControl/>
        <w:kinsoku/>
        <w:wordWrap/>
        <w:overflowPunct w:val="0"/>
        <w:topLinePunct w:val="0"/>
        <w:bidi w:val="0"/>
        <w:spacing w:before="71" w:line="236" w:lineRule="auto"/>
        <w:jc w:val="both"/>
        <w:outlineLvl w:val="9"/>
        <w:rPr>
          <w:rFonts w:hint="default" w:ascii="Times New Roman" w:hAnsi="Times New Roman" w:eastAsia="方正黑体_GBK" w:cs="Times New Roman"/>
          <w:color w:val="auto"/>
          <w:spacing w:val="7"/>
          <w:sz w:val="31"/>
          <w:szCs w:val="31"/>
          <w:highlight w:val="none"/>
        </w:rPr>
      </w:pPr>
    </w:p>
    <w:p>
      <w:pPr>
        <w:keepNext w:val="0"/>
        <w:keepLines w:val="0"/>
        <w:pageBreakBefore w:val="0"/>
        <w:widowControl/>
        <w:kinsoku/>
        <w:wordWrap/>
        <w:overflowPunct w:val="0"/>
        <w:topLinePunct w:val="0"/>
        <w:bidi w:val="0"/>
        <w:spacing w:before="71" w:line="236" w:lineRule="auto"/>
        <w:ind w:left="651"/>
        <w:jc w:val="both"/>
        <w:outlineLvl w:val="0"/>
        <w:rPr>
          <w:rFonts w:hint="default" w:ascii="Times New Roman" w:hAnsi="Times New Roman" w:eastAsia="方正黑体_GBK" w:cs="Times New Roman"/>
          <w:color w:val="auto"/>
          <w:sz w:val="32"/>
          <w:szCs w:val="32"/>
          <w:highlight w:val="none"/>
        </w:rPr>
      </w:pPr>
      <w:bookmarkStart w:id="18" w:name="_Toc293"/>
      <w:r>
        <w:rPr>
          <w:rFonts w:hint="default" w:ascii="Times New Roman" w:hAnsi="Times New Roman" w:eastAsia="方正黑体_GBK" w:cs="Times New Roman"/>
          <w:color w:val="auto"/>
          <w:spacing w:val="7"/>
          <w:sz w:val="32"/>
          <w:szCs w:val="32"/>
          <w:highlight w:val="none"/>
        </w:rPr>
        <w:t>三、支出决算情况说明</w:t>
      </w:r>
      <w:bookmarkEnd w:id="18"/>
    </w:p>
    <w:p>
      <w:pPr>
        <w:keepNext w:val="0"/>
        <w:keepLines w:val="0"/>
        <w:pageBreakBefore w:val="0"/>
        <w:widowControl/>
        <w:tabs>
          <w:tab w:val="center" w:pos="4422"/>
        </w:tabs>
        <w:kinsoku/>
        <w:wordWrap/>
        <w:overflowPunct w:val="0"/>
        <w:topLinePunct w:val="0"/>
        <w:autoSpaceDE w:val="0"/>
        <w:autoSpaceDN w:val="0"/>
        <w:bidi w:val="0"/>
        <w:adjustRightInd w:val="0"/>
        <w:snapToGrid w:val="0"/>
        <w:spacing w:line="600" w:lineRule="exact"/>
        <w:ind w:firstLine="684" w:firstLineChars="200"/>
        <w:jc w:val="both"/>
        <w:textAlignment w:val="baseline"/>
        <w:rPr>
          <w:rFonts w:hint="default" w:ascii="Times New Roman" w:hAnsi="Times New Roman" w:eastAsia="方正仿宋_GBK" w:cs="Times New Roman"/>
          <w:color w:val="auto"/>
          <w:spacing w:val="11"/>
          <w:sz w:val="32"/>
          <w:szCs w:val="32"/>
          <w:highlight w:val="none"/>
          <w:lang w:eastAsia="zh-CN"/>
        </w:rPr>
      </w:pPr>
      <w:r>
        <w:rPr>
          <w:rFonts w:hint="default" w:ascii="Times New Roman" w:hAnsi="Times New Roman" w:eastAsia="方正仿宋_GBK" w:cs="Times New Roman"/>
          <w:color w:val="auto"/>
          <w:spacing w:val="11"/>
          <w:sz w:val="32"/>
          <w:szCs w:val="32"/>
          <w:highlight w:val="none"/>
          <w:lang w:eastAsia="zh-CN"/>
        </w:rPr>
        <w:t>2025年度支出合计1,159.58万元，其中：基本支出612.24万元，占</w:t>
      </w:r>
      <w:r>
        <w:rPr>
          <w:rFonts w:hint="eastAsia" w:ascii="Times New Roman" w:hAnsi="Times New Roman" w:eastAsia="方正仿宋_GBK" w:cs="Times New Roman"/>
          <w:color w:val="auto"/>
          <w:spacing w:val="11"/>
          <w:sz w:val="32"/>
          <w:szCs w:val="32"/>
          <w:highlight w:val="none"/>
          <w:lang w:val="en-US" w:eastAsia="zh-CN"/>
        </w:rPr>
        <w:t>53.85</w:t>
      </w:r>
      <w:r>
        <w:rPr>
          <w:rFonts w:hint="default" w:ascii="Times New Roman" w:hAnsi="Times New Roman" w:eastAsia="方正仿宋_GBK" w:cs="Times New Roman"/>
          <w:color w:val="auto"/>
          <w:spacing w:val="11"/>
          <w:sz w:val="32"/>
          <w:szCs w:val="32"/>
          <w:highlight w:val="none"/>
          <w:lang w:eastAsia="zh-CN"/>
        </w:rPr>
        <w:t>%；项目支出547.34万元，占</w:t>
      </w:r>
      <w:r>
        <w:rPr>
          <w:rFonts w:hint="eastAsia" w:ascii="Times New Roman" w:hAnsi="Times New Roman" w:eastAsia="方正仿宋_GBK" w:cs="Times New Roman"/>
          <w:color w:val="auto"/>
          <w:spacing w:val="11"/>
          <w:sz w:val="32"/>
          <w:szCs w:val="32"/>
          <w:highlight w:val="none"/>
          <w:lang w:val="en-US" w:eastAsia="zh-CN"/>
        </w:rPr>
        <w:t>46.15</w:t>
      </w:r>
      <w:r>
        <w:rPr>
          <w:rFonts w:hint="default" w:ascii="Times New Roman" w:hAnsi="Times New Roman" w:eastAsia="方正仿宋_GBK" w:cs="Times New Roman"/>
          <w:color w:val="auto"/>
          <w:spacing w:val="11"/>
          <w:sz w:val="32"/>
          <w:szCs w:val="32"/>
          <w:highlight w:val="none"/>
          <w:lang w:eastAsia="zh-CN"/>
        </w:rPr>
        <w:t>%。</w:t>
      </w:r>
    </w:p>
    <w:p>
      <w:pPr>
        <w:keepNext w:val="0"/>
        <w:keepLines w:val="0"/>
        <w:pageBreakBefore w:val="0"/>
        <w:widowControl/>
        <w:kinsoku/>
        <w:wordWrap/>
        <w:overflowPunct w:val="0"/>
        <w:topLinePunct w:val="0"/>
        <w:bidi w:val="0"/>
        <w:spacing w:before="120" w:line="283" w:lineRule="auto"/>
        <w:ind w:firstLine="634"/>
        <w:jc w:val="both"/>
        <w:rPr>
          <w:rFonts w:hint="default" w:ascii="Times New Roman" w:hAnsi="Times New Roman" w:eastAsia="方正仿宋_GBK" w:cs="Times New Roman"/>
          <w:color w:val="auto"/>
          <w:spacing w:val="2"/>
          <w:sz w:val="31"/>
          <w:szCs w:val="31"/>
          <w:highlight w:val="none"/>
        </w:rPr>
      </w:pPr>
    </w:p>
    <w:p>
      <w:pPr>
        <w:keepNext w:val="0"/>
        <w:keepLines w:val="0"/>
        <w:pageBreakBefore w:val="0"/>
        <w:widowControl/>
        <w:kinsoku/>
        <w:wordWrap/>
        <w:overflowPunct w:val="0"/>
        <w:topLinePunct w:val="0"/>
        <w:bidi w:val="0"/>
        <w:spacing w:before="120" w:line="283" w:lineRule="auto"/>
        <w:jc w:val="center"/>
        <w:rPr>
          <w:rFonts w:hint="default" w:ascii="Times New Roman" w:hAnsi="Times New Roman" w:eastAsia="方正仿宋_GBK" w:cs="Times New Roman"/>
          <w:color w:val="auto"/>
          <w:spacing w:val="2"/>
          <w:sz w:val="31"/>
          <w:szCs w:val="31"/>
          <w:highlight w:val="none"/>
        </w:rPr>
      </w:pPr>
      <w:r>
        <w:drawing>
          <wp:inline distT="0" distB="0" distL="114300" distR="114300">
            <wp:extent cx="4571365" cy="3028950"/>
            <wp:effectExtent l="4445" t="4445" r="15240" b="14605"/>
            <wp:docPr id="105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keepNext w:val="0"/>
        <w:keepLines w:val="0"/>
        <w:pageBreakBefore w:val="0"/>
        <w:widowControl/>
        <w:kinsoku/>
        <w:wordWrap/>
        <w:overflowPunct w:val="0"/>
        <w:topLinePunct w:val="0"/>
        <w:bidi w:val="0"/>
        <w:spacing w:before="120" w:line="283" w:lineRule="auto"/>
        <w:ind w:firstLine="634"/>
        <w:jc w:val="both"/>
        <w:rPr>
          <w:rFonts w:hint="default" w:ascii="Times New Roman" w:hAnsi="Times New Roman" w:eastAsia="方正仿宋_GBK" w:cs="Times New Roman"/>
          <w:color w:val="auto"/>
          <w:spacing w:val="2"/>
          <w:sz w:val="31"/>
          <w:szCs w:val="31"/>
          <w:highlight w:val="none"/>
        </w:rPr>
      </w:pP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60" w:lineRule="auto"/>
        <w:ind w:leftChars="200" w:firstLine="334" w:firstLineChars="100"/>
        <w:jc w:val="both"/>
        <w:textAlignment w:val="baseline"/>
        <w:outlineLvl w:val="0"/>
        <w:rPr>
          <w:rFonts w:hint="default" w:ascii="Times New Roman" w:hAnsi="Times New Roman" w:eastAsia="方正黑体_GBK" w:cs="Times New Roman"/>
          <w:color w:val="auto"/>
          <w:spacing w:val="7"/>
          <w:sz w:val="32"/>
          <w:szCs w:val="32"/>
          <w:highlight w:val="none"/>
        </w:rPr>
      </w:pPr>
      <w:bookmarkStart w:id="19" w:name="_Toc990742335"/>
      <w:r>
        <w:rPr>
          <w:rFonts w:hint="eastAsia" w:ascii="Times New Roman" w:hAnsi="Times New Roman" w:eastAsia="方正黑体_GBK" w:cs="Times New Roman"/>
          <w:color w:val="auto"/>
          <w:spacing w:val="7"/>
          <w:sz w:val="32"/>
          <w:szCs w:val="32"/>
          <w:highlight w:val="none"/>
          <w:lang w:eastAsia="zh-CN"/>
        </w:rPr>
        <w:t>四、</w:t>
      </w:r>
      <w:r>
        <w:rPr>
          <w:rFonts w:hint="default" w:ascii="Times New Roman" w:hAnsi="Times New Roman" w:eastAsia="方正黑体_GBK" w:cs="Times New Roman"/>
          <w:color w:val="auto"/>
          <w:spacing w:val="7"/>
          <w:sz w:val="32"/>
          <w:szCs w:val="32"/>
          <w:highlight w:val="none"/>
        </w:rPr>
        <w:t>财政拨款收入支出决算总体情况说明</w:t>
      </w:r>
      <w:bookmarkEnd w:id="19"/>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60" w:lineRule="auto"/>
        <w:ind w:firstLine="684" w:firstLineChars="200"/>
        <w:jc w:val="both"/>
        <w:textAlignment w:val="baseline"/>
        <w:outlineLvl w:val="9"/>
        <w:rPr>
          <w:rFonts w:hint="default" w:ascii="Times New Roman" w:hAnsi="Times New Roman" w:eastAsia="方正仿宋_GBK" w:cs="Times New Roman"/>
          <w:color w:val="auto"/>
          <w:spacing w:val="11"/>
          <w:sz w:val="32"/>
          <w:szCs w:val="32"/>
          <w:highlight w:val="none"/>
          <w:lang w:val="en-US" w:eastAsia="zh-CN"/>
        </w:rPr>
      </w:pPr>
      <w:r>
        <w:rPr>
          <w:rFonts w:hint="default" w:ascii="Times New Roman" w:hAnsi="Times New Roman" w:eastAsia="方正仿宋_GBK" w:cs="Times New Roman"/>
          <w:color w:val="auto"/>
          <w:spacing w:val="11"/>
          <w:sz w:val="32"/>
          <w:szCs w:val="32"/>
          <w:highlight w:val="none"/>
          <w:lang w:eastAsia="zh-CN"/>
        </w:rPr>
        <w:t>2025</w:t>
      </w:r>
      <w:r>
        <w:rPr>
          <w:rFonts w:hint="eastAsia" w:ascii="Times New Roman" w:hAnsi="Times New Roman" w:eastAsia="方正仿宋_GBK" w:cs="Times New Roman"/>
          <w:color w:val="auto"/>
          <w:spacing w:val="11"/>
          <w:sz w:val="32"/>
          <w:szCs w:val="32"/>
          <w:highlight w:val="none"/>
          <w:lang w:eastAsia="zh-CN"/>
        </w:rPr>
        <w:t>年</w:t>
      </w:r>
      <w:r>
        <w:rPr>
          <w:rFonts w:hint="default" w:ascii="Times New Roman" w:hAnsi="Times New Roman" w:eastAsia="方正仿宋_GBK" w:cs="Times New Roman"/>
          <w:color w:val="auto"/>
          <w:spacing w:val="11"/>
          <w:sz w:val="32"/>
          <w:szCs w:val="32"/>
          <w:highlight w:val="none"/>
          <w:lang w:eastAsia="zh-CN"/>
        </w:rPr>
        <w:t>度财政拨款收、支</w:t>
      </w:r>
      <w:r>
        <w:rPr>
          <w:rFonts w:hint="eastAsia" w:ascii="Times New Roman" w:hAnsi="Times New Roman" w:eastAsia="方正仿宋_GBK" w:cs="Times New Roman"/>
          <w:color w:val="auto"/>
          <w:spacing w:val="11"/>
          <w:sz w:val="32"/>
          <w:szCs w:val="32"/>
          <w:highlight w:val="none"/>
          <w:lang w:eastAsia="zh-CN"/>
        </w:rPr>
        <w:t>总额均</w:t>
      </w:r>
      <w:r>
        <w:rPr>
          <w:rFonts w:hint="default" w:ascii="Times New Roman" w:hAnsi="Times New Roman" w:eastAsia="方正仿宋_GBK" w:cs="Times New Roman"/>
          <w:color w:val="auto"/>
          <w:spacing w:val="11"/>
          <w:sz w:val="32"/>
          <w:szCs w:val="32"/>
          <w:highlight w:val="none"/>
          <w:lang w:eastAsia="zh-CN"/>
        </w:rPr>
        <w:t>为</w:t>
      </w:r>
      <w:r>
        <w:rPr>
          <w:rFonts w:hint="eastAsia" w:ascii="Times New Roman" w:hAnsi="Times New Roman" w:eastAsia="方正仿宋_GBK" w:cs="Times New Roman"/>
          <w:color w:val="auto"/>
          <w:spacing w:val="11"/>
          <w:sz w:val="32"/>
          <w:szCs w:val="32"/>
          <w:highlight w:val="none"/>
          <w:lang w:val="en-US" w:eastAsia="zh-CN"/>
        </w:rPr>
        <w:t>48.24</w:t>
      </w:r>
      <w:r>
        <w:rPr>
          <w:rFonts w:hint="default" w:ascii="Times New Roman" w:hAnsi="Times New Roman" w:eastAsia="方正仿宋_GBK" w:cs="Times New Roman"/>
          <w:color w:val="auto"/>
          <w:spacing w:val="11"/>
          <w:sz w:val="32"/>
          <w:szCs w:val="32"/>
          <w:highlight w:val="none"/>
          <w:lang w:eastAsia="zh-CN"/>
        </w:rPr>
        <w:t>万元，与2024年度相比，财政拨款收、支</w:t>
      </w:r>
      <w:r>
        <w:rPr>
          <w:rFonts w:hint="eastAsia" w:ascii="Times New Roman" w:hAnsi="Times New Roman" w:eastAsia="方正仿宋_GBK" w:cs="Times New Roman"/>
          <w:color w:val="auto"/>
          <w:spacing w:val="11"/>
          <w:sz w:val="32"/>
          <w:szCs w:val="32"/>
          <w:highlight w:val="none"/>
          <w:lang w:eastAsia="zh-CN"/>
        </w:rPr>
        <w:t>总额均增加</w:t>
      </w:r>
      <w:r>
        <w:rPr>
          <w:rFonts w:hint="eastAsia" w:ascii="Times New Roman" w:hAnsi="Times New Roman" w:eastAsia="方正仿宋_GBK" w:cs="Times New Roman"/>
          <w:color w:val="auto"/>
          <w:spacing w:val="11"/>
          <w:sz w:val="32"/>
          <w:szCs w:val="32"/>
          <w:highlight w:val="none"/>
          <w:lang w:val="en-US" w:eastAsia="zh-CN"/>
        </w:rPr>
        <w:t>3.83</w:t>
      </w:r>
      <w:r>
        <w:rPr>
          <w:rFonts w:hint="default" w:ascii="Times New Roman" w:hAnsi="Times New Roman" w:eastAsia="方正仿宋_GBK" w:cs="Times New Roman"/>
          <w:color w:val="auto"/>
          <w:spacing w:val="11"/>
          <w:sz w:val="32"/>
          <w:szCs w:val="32"/>
          <w:highlight w:val="none"/>
          <w:lang w:eastAsia="zh-CN"/>
        </w:rPr>
        <w:t>万元，</w:t>
      </w:r>
      <w:r>
        <w:rPr>
          <w:rFonts w:hint="eastAsia" w:ascii="Times New Roman" w:hAnsi="Times New Roman" w:eastAsia="方正仿宋_GBK" w:cs="Times New Roman"/>
          <w:color w:val="auto"/>
          <w:spacing w:val="11"/>
          <w:sz w:val="32"/>
          <w:szCs w:val="32"/>
          <w:highlight w:val="none"/>
          <w:lang w:eastAsia="zh-CN"/>
        </w:rPr>
        <w:t>增长</w:t>
      </w:r>
      <w:r>
        <w:rPr>
          <w:rFonts w:hint="eastAsia" w:ascii="Times New Roman" w:hAnsi="Times New Roman" w:eastAsia="方正仿宋_GBK" w:cs="Times New Roman"/>
          <w:color w:val="auto"/>
          <w:spacing w:val="11"/>
          <w:sz w:val="32"/>
          <w:szCs w:val="32"/>
          <w:highlight w:val="none"/>
          <w:lang w:val="en-US" w:eastAsia="zh-CN"/>
        </w:rPr>
        <w:t>8.62</w:t>
      </w:r>
      <w:r>
        <w:rPr>
          <w:rFonts w:hint="default" w:ascii="Times New Roman" w:hAnsi="Times New Roman" w:eastAsia="方正仿宋_GBK" w:cs="Times New Roman"/>
          <w:color w:val="auto"/>
          <w:spacing w:val="11"/>
          <w:sz w:val="32"/>
          <w:szCs w:val="32"/>
          <w:highlight w:val="none"/>
          <w:lang w:eastAsia="zh-CN"/>
        </w:rPr>
        <w:t>%，</w:t>
      </w:r>
      <w:r>
        <w:rPr>
          <w:rFonts w:hint="eastAsia" w:ascii="Times New Roman" w:hAnsi="Times New Roman" w:eastAsia="方正仿宋_GBK" w:cs="Times New Roman"/>
          <w:color w:val="auto"/>
          <w:spacing w:val="11"/>
          <w:sz w:val="32"/>
          <w:szCs w:val="32"/>
          <w:highlight w:val="none"/>
          <w:lang w:eastAsia="zh-CN"/>
        </w:rPr>
        <w:t>增加</w:t>
      </w:r>
      <w:r>
        <w:rPr>
          <w:rFonts w:hint="default" w:ascii="Times New Roman" w:hAnsi="Times New Roman" w:eastAsia="方正仿宋_GBK" w:cs="Times New Roman"/>
          <w:color w:val="auto"/>
          <w:spacing w:val="11"/>
          <w:sz w:val="32"/>
          <w:szCs w:val="32"/>
          <w:highlight w:val="none"/>
          <w:lang w:eastAsia="zh-CN"/>
        </w:rPr>
        <w:t>的主要原因</w:t>
      </w:r>
      <w:r>
        <w:rPr>
          <w:rFonts w:hint="eastAsia" w:ascii="Times New Roman" w:hAnsi="Times New Roman" w:eastAsia="方正仿宋_GBK" w:cs="Times New Roman"/>
          <w:color w:val="auto"/>
          <w:spacing w:val="11"/>
          <w:sz w:val="32"/>
          <w:szCs w:val="32"/>
          <w:highlight w:val="none"/>
          <w:lang w:eastAsia="zh-CN"/>
        </w:rPr>
        <w:t>是</w:t>
      </w:r>
      <w:r>
        <w:rPr>
          <w:rFonts w:hint="default" w:ascii="Times New Roman" w:hAnsi="Times New Roman" w:eastAsia="方正仿宋_GBK" w:cs="Times New Roman"/>
          <w:color w:val="auto"/>
          <w:spacing w:val="11"/>
          <w:sz w:val="32"/>
          <w:szCs w:val="32"/>
          <w:highlight w:val="none"/>
          <w:lang w:val="en-US" w:eastAsia="zh-CN"/>
        </w:rPr>
        <w:t>中央财政根据相关规定按照标准下达公用经费。</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60" w:lineRule="auto"/>
        <w:ind w:firstLine="420" w:firstLineChars="200"/>
        <w:jc w:val="center"/>
        <w:textAlignment w:val="baseline"/>
        <w:outlineLvl w:val="9"/>
        <w:rPr>
          <w:rFonts w:hint="default" w:ascii="Times New Roman" w:hAnsi="Times New Roman" w:eastAsia="方正仿宋_GBK" w:cs="Times New Roman"/>
          <w:color w:val="auto"/>
          <w:spacing w:val="11"/>
          <w:sz w:val="32"/>
          <w:szCs w:val="32"/>
          <w:highlight w:val="none"/>
          <w:lang w:val="en-US" w:eastAsia="zh-CN"/>
        </w:rPr>
      </w:pPr>
      <w:r>
        <w:drawing>
          <wp:inline distT="0" distB="0" distL="114300" distR="114300">
            <wp:extent cx="4006850" cy="2703830"/>
            <wp:effectExtent l="4445" t="4445" r="8255" b="15875"/>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keepNext w:val="0"/>
        <w:keepLines w:val="0"/>
        <w:pageBreakBefore w:val="0"/>
        <w:widowControl/>
        <w:kinsoku/>
        <w:wordWrap/>
        <w:overflowPunct w:val="0"/>
        <w:topLinePunct w:val="0"/>
        <w:autoSpaceDE w:val="0"/>
        <w:autoSpaceDN w:val="0"/>
        <w:bidi w:val="0"/>
        <w:adjustRightInd w:val="0"/>
        <w:snapToGrid w:val="0"/>
        <w:spacing w:before="113" w:line="600" w:lineRule="exact"/>
        <w:ind w:firstLine="668" w:firstLineChars="200"/>
        <w:jc w:val="both"/>
        <w:textAlignment w:val="baseline"/>
        <w:outlineLvl w:val="0"/>
        <w:rPr>
          <w:rFonts w:hint="default" w:ascii="Times New Roman" w:hAnsi="Times New Roman" w:eastAsia="方正黑体_GBK" w:cs="Times New Roman"/>
          <w:color w:val="auto"/>
          <w:sz w:val="32"/>
          <w:szCs w:val="32"/>
          <w:highlight w:val="none"/>
        </w:rPr>
      </w:pPr>
      <w:bookmarkStart w:id="20" w:name="_Toc1175641081"/>
      <w:r>
        <w:rPr>
          <w:rFonts w:hint="default" w:ascii="Times New Roman" w:hAnsi="Times New Roman" w:eastAsia="方正黑体_GBK" w:cs="Times New Roman"/>
          <w:color w:val="auto"/>
          <w:spacing w:val="7"/>
          <w:sz w:val="32"/>
          <w:szCs w:val="32"/>
          <w:highlight w:val="none"/>
        </w:rPr>
        <w:t>五、一般公共预算财政拨款支出决算情况说明</w:t>
      </w:r>
      <w:bookmarkEnd w:id="20"/>
    </w:p>
    <w:p>
      <w:pPr>
        <w:keepNext w:val="0"/>
        <w:keepLines w:val="0"/>
        <w:pageBreakBefore w:val="0"/>
        <w:widowControl/>
        <w:tabs>
          <w:tab w:val="center" w:pos="4422"/>
        </w:tabs>
        <w:kinsoku/>
        <w:wordWrap/>
        <w:overflowPunct w:val="0"/>
        <w:topLinePunct w:val="0"/>
        <w:autoSpaceDE w:val="0"/>
        <w:autoSpaceDN w:val="0"/>
        <w:bidi w:val="0"/>
        <w:adjustRightInd w:val="0"/>
        <w:snapToGrid w:val="0"/>
        <w:spacing w:line="600" w:lineRule="exact"/>
        <w:ind w:firstLine="684" w:firstLineChars="200"/>
        <w:jc w:val="both"/>
        <w:textAlignment w:val="baseline"/>
        <w:rPr>
          <w:rFonts w:hint="eastAsia" w:ascii="Times New Roman" w:hAnsi="Times New Roman" w:eastAsia="方正仿宋_GBK" w:cs="Times New Roman"/>
          <w:color w:val="auto"/>
          <w:spacing w:val="11"/>
          <w:sz w:val="32"/>
          <w:szCs w:val="32"/>
          <w:highlight w:val="none"/>
          <w:lang w:val="en-US" w:eastAsia="zh-CN"/>
        </w:rPr>
      </w:pPr>
      <w:r>
        <w:rPr>
          <w:rFonts w:hint="eastAsia" w:ascii="Times New Roman" w:hAnsi="Times New Roman" w:eastAsia="方正仿宋_GBK" w:cs="Times New Roman"/>
          <w:color w:val="auto"/>
          <w:spacing w:val="11"/>
          <w:sz w:val="32"/>
          <w:szCs w:val="32"/>
          <w:highlight w:val="none"/>
          <w:lang w:eastAsia="zh-CN"/>
        </w:rPr>
        <w:t>按照党中央、国务院关于党政机关习惯过紧日子的有关要求，桂东县消防救援大队厉行节约办一切事业，严控一般性支出，同时坚持有保有压，优化支出结构，合理保障消防救援队伍人员薪酬、日常运转等</w:t>
      </w:r>
      <w:r>
        <w:rPr>
          <w:rFonts w:hint="eastAsia" w:ascii="Times New Roman" w:hAnsi="Times New Roman" w:eastAsia="方正仿宋_GBK" w:cs="Times New Roman"/>
          <w:color w:val="auto"/>
          <w:spacing w:val="11"/>
          <w:sz w:val="32"/>
          <w:szCs w:val="32"/>
          <w:highlight w:val="none"/>
          <w:lang w:val="en-US" w:eastAsia="zh-CN"/>
        </w:rPr>
        <w:t>重点支出，持续提高资金使用效益，体现在有关支出科目中。</w:t>
      </w:r>
    </w:p>
    <w:p>
      <w:pPr>
        <w:keepNext w:val="0"/>
        <w:keepLines w:val="0"/>
        <w:pageBreakBefore w:val="0"/>
        <w:widowControl/>
        <w:kinsoku/>
        <w:wordWrap/>
        <w:overflowPunct w:val="0"/>
        <w:topLinePunct w:val="0"/>
        <w:autoSpaceDE w:val="0"/>
        <w:autoSpaceDN w:val="0"/>
        <w:bidi w:val="0"/>
        <w:adjustRightInd w:val="0"/>
        <w:snapToGrid w:val="0"/>
        <w:spacing w:line="600" w:lineRule="exact"/>
        <w:ind w:firstLine="672" w:firstLineChars="200"/>
        <w:jc w:val="both"/>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1" w:name="_Toc929730174"/>
      <w:r>
        <w:rPr>
          <w:rFonts w:hint="default" w:ascii="Times New Roman" w:hAnsi="Times New Roman" w:eastAsia="方正楷体_GBK" w:cs="Times New Roman"/>
          <w:b w:val="0"/>
          <w:bCs w:val="0"/>
          <w:color w:val="auto"/>
          <w:spacing w:val="8"/>
          <w:sz w:val="32"/>
          <w:szCs w:val="32"/>
          <w:highlight w:val="none"/>
        </w:rPr>
        <w:t>（一）一般公共预算财政拨款支出决算总体情况</w:t>
      </w:r>
      <w:bookmarkEnd w:id="21"/>
    </w:p>
    <w:p>
      <w:pPr>
        <w:keepNext w:val="0"/>
        <w:keepLines w:val="0"/>
        <w:pageBreakBefore w:val="0"/>
        <w:widowControl/>
        <w:tabs>
          <w:tab w:val="center" w:pos="4422"/>
        </w:tabs>
        <w:kinsoku/>
        <w:wordWrap/>
        <w:overflowPunct w:val="0"/>
        <w:topLinePunct w:val="0"/>
        <w:autoSpaceDE w:val="0"/>
        <w:autoSpaceDN w:val="0"/>
        <w:bidi w:val="0"/>
        <w:adjustRightInd w:val="0"/>
        <w:snapToGrid w:val="0"/>
        <w:spacing w:line="600" w:lineRule="exact"/>
        <w:ind w:firstLine="640" w:firstLineChars="200"/>
        <w:jc w:val="both"/>
        <w:textAlignment w:val="baseline"/>
        <w:outlineLvl w:val="9"/>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2025年度一般公共预算财政拨款支出</w:t>
      </w:r>
      <w:r>
        <w:rPr>
          <w:rFonts w:hint="eastAsia" w:ascii="Times New Roman" w:hAnsi="Times New Roman" w:eastAsia="方正仿宋_GBK" w:cs="Times New Roman"/>
          <w:color w:val="auto"/>
          <w:sz w:val="32"/>
          <w:szCs w:val="32"/>
          <w:highlight w:val="none"/>
          <w:lang w:val="en-US" w:eastAsia="zh-CN"/>
        </w:rPr>
        <w:t>48.24</w:t>
      </w:r>
      <w:r>
        <w:rPr>
          <w:rFonts w:hint="default" w:ascii="Times New Roman" w:hAnsi="Times New Roman" w:eastAsia="方正仿宋_GBK" w:cs="Times New Roman"/>
          <w:color w:val="auto"/>
          <w:sz w:val="32"/>
          <w:szCs w:val="32"/>
          <w:highlight w:val="none"/>
          <w:lang w:val="en-US" w:eastAsia="zh-CN"/>
        </w:rPr>
        <w:t>万元，占本年支出合计的</w:t>
      </w:r>
      <w:r>
        <w:rPr>
          <w:rFonts w:hint="eastAsia" w:ascii="Times New Roman" w:hAnsi="Times New Roman" w:eastAsia="方正仿宋_GBK" w:cs="Times New Roman"/>
          <w:color w:val="auto"/>
          <w:sz w:val="32"/>
          <w:szCs w:val="32"/>
          <w:highlight w:val="none"/>
          <w:lang w:val="en-US" w:eastAsia="zh-CN"/>
        </w:rPr>
        <w:t>3.43</w:t>
      </w:r>
      <w:r>
        <w:rPr>
          <w:rFonts w:hint="default" w:ascii="Times New Roman" w:hAnsi="Times New Roman" w:eastAsia="方正仿宋_GBK" w:cs="Times New Roman"/>
          <w:color w:val="auto"/>
          <w:sz w:val="32"/>
          <w:szCs w:val="32"/>
          <w:highlight w:val="none"/>
          <w:lang w:val="en-US" w:eastAsia="zh-CN"/>
        </w:rPr>
        <w:t>%，与2024年度相比，财政拨款支出</w:t>
      </w:r>
      <w:r>
        <w:rPr>
          <w:rFonts w:hint="eastAsia" w:ascii="Times New Roman" w:hAnsi="Times New Roman" w:eastAsia="方正仿宋_GBK" w:cs="Times New Roman"/>
          <w:color w:val="auto"/>
          <w:sz w:val="32"/>
          <w:szCs w:val="32"/>
          <w:highlight w:val="none"/>
          <w:lang w:val="en-US" w:eastAsia="zh-CN"/>
        </w:rPr>
        <w:t>增加3.83</w:t>
      </w:r>
      <w:r>
        <w:rPr>
          <w:rFonts w:hint="default" w:ascii="Times New Roman" w:hAnsi="Times New Roman" w:eastAsia="方正仿宋_GBK" w:cs="Times New Roman"/>
          <w:color w:val="auto"/>
          <w:sz w:val="32"/>
          <w:szCs w:val="32"/>
          <w:highlight w:val="none"/>
          <w:lang w:val="en-US" w:eastAsia="zh-CN"/>
        </w:rPr>
        <w:t>万元，</w:t>
      </w:r>
      <w:r>
        <w:rPr>
          <w:rFonts w:hint="eastAsia" w:ascii="Times New Roman" w:hAnsi="Times New Roman" w:eastAsia="方正仿宋_GBK" w:cs="Times New Roman"/>
          <w:color w:val="auto"/>
          <w:sz w:val="32"/>
          <w:szCs w:val="32"/>
          <w:highlight w:val="none"/>
          <w:lang w:val="en-US" w:eastAsia="zh-CN"/>
        </w:rPr>
        <w:t>增长8.62</w:t>
      </w:r>
      <w:r>
        <w:rPr>
          <w:rFonts w:hint="default" w:ascii="Times New Roman" w:hAnsi="Times New Roman" w:eastAsia="方正仿宋_GBK" w:cs="Times New Roman"/>
          <w:color w:val="auto"/>
          <w:sz w:val="32"/>
          <w:szCs w:val="32"/>
          <w:highlight w:val="none"/>
          <w:lang w:val="en-US" w:eastAsia="zh-CN"/>
        </w:rPr>
        <w:t>%，主要原因</w:t>
      </w:r>
      <w:r>
        <w:rPr>
          <w:rFonts w:hint="eastAsia" w:ascii="Times New Roman" w:hAnsi="Times New Roman" w:eastAsia="方正仿宋_GBK" w:cs="Times New Roman"/>
          <w:color w:val="auto"/>
          <w:sz w:val="32"/>
          <w:szCs w:val="32"/>
          <w:highlight w:val="none"/>
          <w:lang w:val="en-US" w:eastAsia="zh-CN"/>
        </w:rPr>
        <w:t>是</w:t>
      </w:r>
      <w:r>
        <w:rPr>
          <w:rFonts w:hint="default" w:ascii="Times New Roman" w:hAnsi="Times New Roman" w:eastAsia="方正仿宋_GBK" w:cs="Times New Roman"/>
          <w:color w:val="auto"/>
          <w:spacing w:val="11"/>
          <w:sz w:val="32"/>
          <w:szCs w:val="32"/>
          <w:highlight w:val="none"/>
          <w:lang w:val="en-US" w:eastAsia="zh-CN"/>
        </w:rPr>
        <w:t>中央财政根据相关规定按照标准下达公用经费</w:t>
      </w:r>
      <w:r>
        <w:rPr>
          <w:rFonts w:hint="eastAsia" w:ascii="Times New Roman" w:hAnsi="Times New Roman" w:eastAsia="方正仿宋_GBK" w:cs="Times New Roman"/>
          <w:color w:val="auto"/>
          <w:sz w:val="32"/>
          <w:szCs w:val="32"/>
          <w:highlight w:val="none"/>
          <w:lang w:val="en-US" w:eastAsia="zh-CN"/>
        </w:rPr>
        <w:t>。</w:t>
      </w:r>
    </w:p>
    <w:p>
      <w:pPr>
        <w:keepNext w:val="0"/>
        <w:keepLines w:val="0"/>
        <w:pageBreakBefore w:val="0"/>
        <w:widowControl/>
        <w:tabs>
          <w:tab w:val="center" w:pos="4422"/>
        </w:tabs>
        <w:kinsoku/>
        <w:wordWrap/>
        <w:overflowPunct w:val="0"/>
        <w:topLinePunct w:val="0"/>
        <w:autoSpaceDE w:val="0"/>
        <w:autoSpaceDN w:val="0"/>
        <w:bidi w:val="0"/>
        <w:adjustRightInd w:val="0"/>
        <w:snapToGrid w:val="0"/>
        <w:spacing w:line="600" w:lineRule="exact"/>
        <w:ind w:firstLine="640" w:firstLineChars="200"/>
        <w:jc w:val="both"/>
        <w:textAlignment w:val="baseline"/>
        <w:outlineLvl w:val="9"/>
        <w:rPr>
          <w:rFonts w:hint="eastAsia" w:ascii="Times New Roman" w:hAnsi="Times New Roman" w:eastAsia="方正仿宋_GBK" w:cs="Times New Roman"/>
          <w:color w:val="auto"/>
          <w:sz w:val="32"/>
          <w:szCs w:val="32"/>
          <w:highlight w:val="none"/>
          <w:lang w:val="en-US" w:eastAsia="zh-CN"/>
        </w:rPr>
      </w:pPr>
    </w:p>
    <w:p>
      <w:pPr>
        <w:keepNext w:val="0"/>
        <w:keepLines w:val="0"/>
        <w:pageBreakBefore w:val="0"/>
        <w:widowControl/>
        <w:kinsoku/>
        <w:wordWrap/>
        <w:overflowPunct w:val="0"/>
        <w:topLinePunct w:val="0"/>
        <w:bidi w:val="0"/>
        <w:spacing w:line="309" w:lineRule="auto"/>
        <w:jc w:val="center"/>
        <w:outlineLvl w:val="9"/>
        <w:rPr>
          <w:rFonts w:hint="default" w:ascii="Times New Roman" w:hAnsi="Times New Roman" w:eastAsia="方正仿宋_GBK" w:cs="Times New Roman"/>
          <w:color w:val="auto"/>
          <w:sz w:val="31"/>
          <w:szCs w:val="31"/>
          <w:highlight w:val="none"/>
        </w:rPr>
      </w:pPr>
      <w:r>
        <w:drawing>
          <wp:inline distT="0" distB="0" distL="114300" distR="114300">
            <wp:extent cx="4572000" cy="3028950"/>
            <wp:effectExtent l="4445" t="4445" r="14605" b="14605"/>
            <wp:docPr id="10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keepNext w:val="0"/>
        <w:keepLines w:val="0"/>
        <w:pageBreakBefore w:val="0"/>
        <w:widowControl/>
        <w:kinsoku/>
        <w:wordWrap/>
        <w:overflowPunct w:val="0"/>
        <w:topLinePunct w:val="0"/>
        <w:bidi w:val="0"/>
        <w:spacing w:line="309" w:lineRule="auto"/>
        <w:jc w:val="both"/>
        <w:outlineLvl w:val="9"/>
        <w:rPr>
          <w:rFonts w:hint="default" w:ascii="Times New Roman" w:hAnsi="Times New Roman" w:eastAsia="方正仿宋_GBK" w:cs="Times New Roman"/>
          <w:color w:val="auto"/>
          <w:sz w:val="31"/>
          <w:szCs w:val="31"/>
          <w:highlight w:val="none"/>
        </w:rPr>
      </w:pPr>
    </w:p>
    <w:p>
      <w:pPr>
        <w:keepNext w:val="0"/>
        <w:keepLines w:val="0"/>
        <w:pageBreakBefore w:val="0"/>
        <w:widowControl/>
        <w:kinsoku/>
        <w:wordWrap/>
        <w:overflowPunct w:val="0"/>
        <w:topLinePunct w:val="0"/>
        <w:autoSpaceDE w:val="0"/>
        <w:autoSpaceDN w:val="0"/>
        <w:bidi w:val="0"/>
        <w:adjustRightInd w:val="0"/>
        <w:snapToGrid w:val="0"/>
        <w:spacing w:line="600" w:lineRule="exact"/>
        <w:ind w:firstLine="672" w:firstLineChars="200"/>
        <w:jc w:val="both"/>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2" w:name="bookmark44"/>
      <w:bookmarkEnd w:id="22"/>
      <w:bookmarkStart w:id="23" w:name="_Toc1222100889"/>
      <w:r>
        <w:rPr>
          <w:rFonts w:hint="default" w:ascii="Times New Roman" w:hAnsi="Times New Roman" w:eastAsia="方正楷体_GBK" w:cs="Times New Roman"/>
          <w:b w:val="0"/>
          <w:bCs w:val="0"/>
          <w:color w:val="auto"/>
          <w:spacing w:val="8"/>
          <w:sz w:val="32"/>
          <w:szCs w:val="32"/>
          <w:highlight w:val="none"/>
        </w:rPr>
        <w:t>（二）一般公共预算财政拨款支出决算结构情况</w:t>
      </w:r>
      <w:bookmarkEnd w:id="23"/>
    </w:p>
    <w:p>
      <w:pPr>
        <w:keepNext w:val="0"/>
        <w:keepLines w:val="0"/>
        <w:pageBreakBefore w:val="0"/>
        <w:widowControl/>
        <w:tabs>
          <w:tab w:val="center" w:pos="4422"/>
        </w:tabs>
        <w:kinsoku/>
        <w:wordWrap/>
        <w:overflowPunct w:val="0"/>
        <w:topLinePunct w:val="0"/>
        <w:autoSpaceDE w:val="0"/>
        <w:autoSpaceDN w:val="0"/>
        <w:bidi w:val="0"/>
        <w:adjustRightInd w:val="0"/>
        <w:snapToGrid w:val="0"/>
        <w:spacing w:line="640" w:lineRule="exact"/>
        <w:ind w:firstLine="420" w:firstLineChars="200"/>
        <w:jc w:val="left"/>
        <w:textAlignment w:val="baseline"/>
        <w:outlineLvl w:val="9"/>
        <w:rPr>
          <w:rFonts w:hint="default" w:ascii="Times New Roman" w:hAnsi="Times New Roman" w:eastAsia="方正仿宋_GBK" w:cs="Times New Roman"/>
          <w:color w:val="auto"/>
          <w:spacing w:val="11"/>
          <w:sz w:val="32"/>
          <w:szCs w:val="32"/>
          <w:highlight w:val="none"/>
        </w:rPr>
      </w:pPr>
      <w:r>
        <w:drawing>
          <wp:anchor distT="0" distB="0" distL="114300" distR="114300" simplePos="0" relativeHeight="251677696" behindDoc="0" locked="0" layoutInCell="1" allowOverlap="1">
            <wp:simplePos x="0" y="0"/>
            <wp:positionH relativeFrom="column">
              <wp:posOffset>456565</wp:posOffset>
            </wp:positionH>
            <wp:positionV relativeFrom="paragraph">
              <wp:posOffset>977265</wp:posOffset>
            </wp:positionV>
            <wp:extent cx="4572000" cy="2743200"/>
            <wp:effectExtent l="4445" t="4445" r="14605" b="14605"/>
            <wp:wrapTopAndBottom/>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hint="default" w:ascii="Times New Roman" w:hAnsi="Times New Roman" w:eastAsia="方正仿宋_GBK" w:cs="Times New Roman"/>
          <w:color w:val="auto"/>
          <w:spacing w:val="11"/>
          <w:sz w:val="32"/>
          <w:szCs w:val="32"/>
          <w:highlight w:val="none"/>
        </w:rPr>
        <w:t>202</w:t>
      </w:r>
      <w:r>
        <w:rPr>
          <w:rFonts w:hint="default" w:ascii="Times New Roman" w:hAnsi="Times New Roman" w:eastAsia="方正仿宋_GBK" w:cs="Times New Roman"/>
          <w:color w:val="auto"/>
          <w:spacing w:val="11"/>
          <w:sz w:val="32"/>
          <w:szCs w:val="32"/>
          <w:highlight w:val="none"/>
          <w:lang w:val="en-US" w:eastAsia="zh-CN"/>
        </w:rPr>
        <w:t>5</w:t>
      </w:r>
      <w:r>
        <w:rPr>
          <w:rFonts w:hint="default" w:ascii="Times New Roman" w:hAnsi="Times New Roman" w:eastAsia="方正仿宋_GBK" w:cs="Times New Roman"/>
          <w:color w:val="auto"/>
          <w:spacing w:val="11"/>
          <w:sz w:val="32"/>
          <w:szCs w:val="32"/>
          <w:highlight w:val="none"/>
        </w:rPr>
        <w:t>年度一般公共预算财政拨款支出</w:t>
      </w:r>
      <w:r>
        <w:rPr>
          <w:rFonts w:hint="eastAsia" w:ascii="Times New Roman" w:hAnsi="Times New Roman" w:eastAsia="方正仿宋_GBK" w:cs="Times New Roman"/>
          <w:color w:val="auto"/>
          <w:spacing w:val="11"/>
          <w:sz w:val="32"/>
          <w:szCs w:val="32"/>
          <w:highlight w:val="none"/>
          <w:lang w:val="en-US" w:eastAsia="zh-CN"/>
        </w:rPr>
        <w:t>48.24</w:t>
      </w:r>
      <w:r>
        <w:rPr>
          <w:rFonts w:hint="default" w:ascii="Times New Roman" w:hAnsi="Times New Roman" w:eastAsia="方正仿宋_GBK" w:cs="Times New Roman"/>
          <w:color w:val="auto"/>
          <w:spacing w:val="11"/>
          <w:sz w:val="32"/>
          <w:szCs w:val="32"/>
          <w:highlight w:val="none"/>
        </w:rPr>
        <w:t>万元，</w:t>
      </w:r>
      <w:r>
        <w:rPr>
          <w:rFonts w:hint="default" w:ascii="Times New Roman" w:hAnsi="Times New Roman" w:eastAsia="方正仿宋_GBK" w:cs="Times New Roman"/>
          <w:color w:val="auto"/>
          <w:spacing w:val="11"/>
          <w:sz w:val="32"/>
          <w:szCs w:val="32"/>
          <w:highlight w:val="none"/>
          <w:lang w:val="en-US"/>
        </w:rPr>
        <w:tab/>
      </w:r>
      <w:r>
        <w:rPr>
          <w:rFonts w:hint="eastAsia" w:ascii="Times New Roman" w:hAnsi="Times New Roman" w:eastAsia="方正仿宋_GBK" w:cs="Times New Roman"/>
          <w:color w:val="auto"/>
          <w:spacing w:val="11"/>
          <w:sz w:val="32"/>
          <w:szCs w:val="32"/>
          <w:highlight w:val="none"/>
          <w:lang w:val="en-US" w:eastAsia="zh-CN"/>
        </w:rPr>
        <w:t>全部</w:t>
      </w:r>
      <w:r>
        <w:rPr>
          <w:rFonts w:hint="default" w:ascii="Times New Roman" w:hAnsi="Times New Roman" w:eastAsia="方正仿宋_GBK" w:cs="Times New Roman"/>
          <w:color w:val="auto"/>
          <w:spacing w:val="11"/>
          <w:sz w:val="32"/>
          <w:szCs w:val="32"/>
          <w:highlight w:val="none"/>
        </w:rPr>
        <w:t>用于灾害防治及应急管理支出</w:t>
      </w:r>
      <w:r>
        <w:rPr>
          <w:rFonts w:hint="eastAsia" w:ascii="Times New Roman" w:hAnsi="Times New Roman" w:eastAsia="方正仿宋_GBK" w:cs="Times New Roman"/>
          <w:color w:val="auto"/>
          <w:spacing w:val="11"/>
          <w:sz w:val="32"/>
          <w:szCs w:val="32"/>
          <w:highlight w:val="none"/>
          <w:lang w:val="en-US" w:eastAsia="zh-CN"/>
        </w:rPr>
        <w:t>48.24</w:t>
      </w:r>
      <w:r>
        <w:rPr>
          <w:rFonts w:hint="default" w:ascii="Times New Roman" w:hAnsi="Times New Roman" w:eastAsia="方正仿宋_GBK" w:cs="Times New Roman"/>
          <w:color w:val="auto"/>
          <w:spacing w:val="11"/>
          <w:sz w:val="32"/>
          <w:szCs w:val="32"/>
          <w:highlight w:val="none"/>
        </w:rPr>
        <w:t>万元，占</w:t>
      </w:r>
      <w:r>
        <w:rPr>
          <w:rFonts w:hint="eastAsia" w:ascii="Times New Roman" w:hAnsi="Times New Roman" w:eastAsia="方正仿宋_GBK" w:cs="Times New Roman"/>
          <w:color w:val="auto"/>
          <w:spacing w:val="11"/>
          <w:sz w:val="32"/>
          <w:szCs w:val="32"/>
          <w:highlight w:val="none"/>
          <w:lang w:val="en-US" w:eastAsia="zh-CN"/>
        </w:rPr>
        <w:t>100</w:t>
      </w:r>
      <w:r>
        <w:rPr>
          <w:rFonts w:hint="default" w:ascii="Times New Roman" w:hAnsi="Times New Roman" w:eastAsia="方正仿宋_GBK" w:cs="Times New Roman"/>
          <w:color w:val="auto"/>
          <w:spacing w:val="11"/>
          <w:sz w:val="32"/>
          <w:szCs w:val="32"/>
          <w:highlight w:val="none"/>
        </w:rPr>
        <w:t>%。</w:t>
      </w:r>
      <w:bookmarkStart w:id="24" w:name="bookmark45"/>
      <w:bookmarkEnd w:id="24"/>
    </w:p>
    <w:p>
      <w:pPr>
        <w:keepNext w:val="0"/>
        <w:keepLines w:val="0"/>
        <w:pageBreakBefore w:val="0"/>
        <w:widowControl/>
        <w:kinsoku/>
        <w:wordWrap/>
        <w:overflowPunct w:val="0"/>
        <w:topLinePunct w:val="0"/>
        <w:autoSpaceDE w:val="0"/>
        <w:autoSpaceDN w:val="0"/>
        <w:bidi w:val="0"/>
        <w:adjustRightInd w:val="0"/>
        <w:snapToGrid w:val="0"/>
        <w:spacing w:line="600" w:lineRule="exact"/>
        <w:ind w:firstLine="672" w:firstLineChars="200"/>
        <w:jc w:val="left"/>
        <w:textAlignment w:val="baseline"/>
        <w:outlineLvl w:val="9"/>
        <w:rPr>
          <w:rFonts w:hint="default" w:ascii="Times New Roman" w:hAnsi="Times New Roman" w:eastAsia="方正楷体_GBK" w:cs="Times New Roman"/>
          <w:b w:val="0"/>
          <w:bCs w:val="0"/>
          <w:color w:val="auto"/>
          <w:spacing w:val="8"/>
          <w:sz w:val="32"/>
          <w:szCs w:val="32"/>
          <w:highlight w:val="none"/>
        </w:rPr>
      </w:pPr>
      <w:bookmarkStart w:id="25" w:name="_Toc518925140"/>
      <w:r>
        <w:rPr>
          <w:rFonts w:hint="default" w:ascii="Times New Roman" w:hAnsi="Times New Roman" w:eastAsia="方正楷体_GBK" w:cs="Times New Roman"/>
          <w:b w:val="0"/>
          <w:bCs w:val="0"/>
          <w:color w:val="auto"/>
          <w:spacing w:val="8"/>
          <w:sz w:val="32"/>
          <w:szCs w:val="32"/>
          <w:highlight w:val="none"/>
        </w:rPr>
        <w:t>（三）一般公共预算财政拨款支出决算具体情况</w:t>
      </w:r>
      <w:bookmarkEnd w:id="25"/>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29"/>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11"/>
          <w:sz w:val="32"/>
          <w:szCs w:val="32"/>
          <w:highlight w:val="none"/>
        </w:rPr>
        <w:t>202</w:t>
      </w:r>
      <w:r>
        <w:rPr>
          <w:rFonts w:hint="default" w:ascii="Times New Roman" w:hAnsi="Times New Roman" w:eastAsia="宋体" w:cs="Times New Roman"/>
          <w:color w:val="auto"/>
          <w:spacing w:val="-11"/>
          <w:sz w:val="32"/>
          <w:szCs w:val="32"/>
          <w:highlight w:val="none"/>
          <w:lang w:val="en-US" w:eastAsia="zh-CN"/>
        </w:rPr>
        <w:t>5</w:t>
      </w:r>
      <w:r>
        <w:rPr>
          <w:rFonts w:hint="default" w:ascii="Times New Roman" w:hAnsi="Times New Roman" w:eastAsia="方正仿宋_GBK" w:cs="Times New Roman"/>
          <w:color w:val="auto"/>
          <w:spacing w:val="-11"/>
          <w:sz w:val="32"/>
          <w:szCs w:val="32"/>
          <w:highlight w:val="none"/>
        </w:rPr>
        <w:t>年度一般公共预算财政拨款支出年初预算为</w:t>
      </w:r>
      <w:r>
        <w:rPr>
          <w:rFonts w:hint="eastAsia" w:ascii="Times New Roman" w:hAnsi="Times New Roman" w:eastAsia="宋体" w:cs="Times New Roman"/>
          <w:color w:val="auto"/>
          <w:spacing w:val="7"/>
          <w:sz w:val="32"/>
          <w:szCs w:val="32"/>
          <w:highlight w:val="none"/>
          <w:lang w:val="en-US" w:eastAsia="zh-CN"/>
        </w:rPr>
        <w:t>48.24</w:t>
      </w:r>
      <w:r>
        <w:rPr>
          <w:rFonts w:hint="default" w:ascii="Times New Roman" w:hAnsi="Times New Roman" w:eastAsia="方正仿宋_GBK" w:cs="Times New Roman"/>
          <w:color w:val="auto"/>
          <w:spacing w:val="7"/>
          <w:sz w:val="32"/>
          <w:szCs w:val="32"/>
          <w:highlight w:val="none"/>
        </w:rPr>
        <w:t>万元，支出决算为</w:t>
      </w:r>
      <w:r>
        <w:rPr>
          <w:rFonts w:hint="eastAsia" w:ascii="Times New Roman" w:hAnsi="Times New Roman" w:eastAsia="宋体" w:cs="Times New Roman"/>
          <w:color w:val="auto"/>
          <w:spacing w:val="7"/>
          <w:sz w:val="32"/>
          <w:szCs w:val="32"/>
          <w:highlight w:val="none"/>
          <w:lang w:val="en-US" w:eastAsia="zh-CN"/>
        </w:rPr>
        <w:t>48.24</w:t>
      </w:r>
      <w:r>
        <w:rPr>
          <w:rFonts w:hint="default" w:ascii="Times New Roman" w:hAnsi="Times New Roman" w:eastAsia="方正仿宋_GBK" w:cs="Times New Roman"/>
          <w:color w:val="auto"/>
          <w:spacing w:val="7"/>
          <w:sz w:val="32"/>
          <w:szCs w:val="32"/>
          <w:highlight w:val="none"/>
        </w:rPr>
        <w:t>万元，完成年初预算</w:t>
      </w:r>
      <w:r>
        <w:rPr>
          <w:rFonts w:hint="default" w:ascii="Times New Roman" w:hAnsi="Times New Roman" w:eastAsia="方正仿宋_GBK" w:cs="Times New Roman"/>
          <w:color w:val="auto"/>
          <w:spacing w:val="-3"/>
          <w:sz w:val="32"/>
          <w:szCs w:val="32"/>
          <w:highlight w:val="none"/>
        </w:rPr>
        <w:t>的</w:t>
      </w:r>
      <w:r>
        <w:rPr>
          <w:rFonts w:hint="eastAsia" w:ascii="Times New Roman" w:hAnsi="Times New Roman" w:eastAsia="宋体" w:cs="Times New Roman"/>
          <w:color w:val="auto"/>
          <w:spacing w:val="-3"/>
          <w:sz w:val="32"/>
          <w:szCs w:val="32"/>
          <w:highlight w:val="none"/>
          <w:lang w:val="en-US" w:eastAsia="zh-CN"/>
        </w:rPr>
        <w:t>100</w:t>
      </w:r>
      <w:r>
        <w:rPr>
          <w:rFonts w:hint="default" w:ascii="Times New Roman" w:hAnsi="Times New Roman" w:eastAsia="宋体" w:cs="Times New Roman"/>
          <w:color w:val="auto"/>
          <w:spacing w:val="-3"/>
          <w:sz w:val="32"/>
          <w:szCs w:val="32"/>
          <w:highlight w:val="none"/>
          <w:lang w:val="en-US" w:eastAsia="zh-CN"/>
        </w:rPr>
        <w:t>%</w:t>
      </w:r>
      <w:r>
        <w:rPr>
          <w:rFonts w:hint="default" w:ascii="Times New Roman" w:hAnsi="Times New Roman" w:eastAsia="方正仿宋_GBK" w:cs="Times New Roman"/>
          <w:color w:val="auto"/>
          <w:spacing w:val="-3"/>
          <w:sz w:val="32"/>
          <w:szCs w:val="32"/>
          <w:highlight w:val="none"/>
        </w:rPr>
        <w:t>。其中：</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firstLine="672" w:firstLineChars="200"/>
        <w:jc w:val="both"/>
        <w:textAlignment w:val="baseline"/>
        <w:rPr>
          <w:rFonts w:hint="default" w:ascii="Times New Roman" w:hAnsi="Times New Roman" w:eastAsia="方正仿宋_GBK" w:cs="Times New Roman"/>
          <w:color w:val="auto"/>
          <w:spacing w:val="6"/>
          <w:sz w:val="32"/>
          <w:szCs w:val="32"/>
          <w:highlight w:val="none"/>
        </w:rPr>
      </w:pPr>
      <w:r>
        <w:rPr>
          <w:rFonts w:hint="default" w:ascii="Times New Roman" w:hAnsi="Times New Roman" w:eastAsia="方正仿宋_GBK" w:cs="Times New Roman"/>
          <w:snapToGrid w:val="0"/>
          <w:color w:val="auto"/>
          <w:spacing w:val="8"/>
          <w:kern w:val="0"/>
          <w:sz w:val="32"/>
          <w:szCs w:val="32"/>
          <w:lang w:val="en-US" w:eastAsia="zh-CN" w:bidi="ar-SA"/>
        </w:rPr>
        <w:t>1.</w:t>
      </w:r>
      <w:r>
        <w:rPr>
          <w:rFonts w:hint="default" w:ascii="Times New Roman" w:hAnsi="Times New Roman" w:eastAsia="方正仿宋_GBK" w:cs="Times New Roman"/>
          <w:b/>
          <w:bCs/>
          <w:color w:val="auto"/>
          <w:spacing w:val="-1"/>
          <w:sz w:val="32"/>
          <w:szCs w:val="32"/>
          <w:highlight w:val="none"/>
        </w:rPr>
        <w:t>灾害防治及应急管理支出（类）消防救援事务（款）行政</w:t>
      </w:r>
      <w:r>
        <w:rPr>
          <w:rFonts w:hint="default" w:ascii="Times New Roman" w:hAnsi="Times New Roman" w:eastAsia="方正仿宋_GBK" w:cs="Times New Roman"/>
          <w:b/>
          <w:bCs/>
          <w:color w:val="auto"/>
          <w:spacing w:val="-4"/>
          <w:sz w:val="32"/>
          <w:szCs w:val="32"/>
          <w:highlight w:val="none"/>
        </w:rPr>
        <w:t>运行（项）。</w:t>
      </w:r>
      <w:r>
        <w:rPr>
          <w:rFonts w:hint="default" w:ascii="Times New Roman" w:hAnsi="Times New Roman" w:eastAsia="方正仿宋_GBK" w:cs="Times New Roman"/>
          <w:color w:val="auto"/>
          <w:spacing w:val="-4"/>
          <w:sz w:val="32"/>
          <w:szCs w:val="32"/>
          <w:highlight w:val="none"/>
        </w:rPr>
        <w:t>年初预算为</w:t>
      </w:r>
      <w:r>
        <w:rPr>
          <w:rFonts w:hint="eastAsia" w:ascii="Times New Roman" w:hAnsi="Times New Roman" w:eastAsia="方正仿宋_GBK" w:cs="Times New Roman"/>
          <w:color w:val="auto"/>
          <w:spacing w:val="-4"/>
          <w:sz w:val="32"/>
          <w:szCs w:val="32"/>
          <w:highlight w:val="none"/>
          <w:lang w:val="en-US" w:eastAsia="zh-CN"/>
        </w:rPr>
        <w:t>15.5</w:t>
      </w:r>
      <w:r>
        <w:rPr>
          <w:rFonts w:hint="default" w:ascii="Times New Roman" w:hAnsi="Times New Roman" w:eastAsia="方正仿宋_GBK" w:cs="Times New Roman"/>
          <w:color w:val="auto"/>
          <w:spacing w:val="-4"/>
          <w:sz w:val="32"/>
          <w:szCs w:val="32"/>
          <w:highlight w:val="none"/>
        </w:rPr>
        <w:t>万元，支出决算为</w:t>
      </w:r>
      <w:r>
        <w:rPr>
          <w:rFonts w:hint="eastAsia" w:ascii="Times New Roman" w:hAnsi="Times New Roman" w:eastAsia="宋体" w:cs="Times New Roman"/>
          <w:color w:val="auto"/>
          <w:spacing w:val="-5"/>
          <w:sz w:val="32"/>
          <w:szCs w:val="32"/>
          <w:highlight w:val="none"/>
          <w:lang w:val="en-US" w:eastAsia="zh-CN"/>
        </w:rPr>
        <w:t>15.5</w:t>
      </w:r>
      <w:r>
        <w:rPr>
          <w:rFonts w:hint="default" w:ascii="Times New Roman" w:hAnsi="Times New Roman" w:eastAsia="方正仿宋_GBK" w:cs="Times New Roman"/>
          <w:color w:val="auto"/>
          <w:spacing w:val="4"/>
          <w:sz w:val="32"/>
          <w:szCs w:val="32"/>
          <w:highlight w:val="none"/>
        </w:rPr>
        <w:t>万元，完成年初预算的</w:t>
      </w:r>
      <w:r>
        <w:rPr>
          <w:rFonts w:hint="eastAsia" w:ascii="Times New Roman" w:hAnsi="Times New Roman" w:eastAsia="方正仿宋_GBK" w:cs="Times New Roman"/>
          <w:color w:val="auto"/>
          <w:spacing w:val="4"/>
          <w:sz w:val="32"/>
          <w:szCs w:val="32"/>
          <w:highlight w:val="none"/>
          <w:lang w:val="en-US" w:eastAsia="zh-CN"/>
        </w:rPr>
        <w:t>100</w:t>
      </w:r>
      <w:r>
        <w:rPr>
          <w:rFonts w:hint="default" w:ascii="Times New Roman" w:hAnsi="Times New Roman" w:eastAsia="Times New Roman" w:cs="Times New Roman"/>
          <w:color w:val="auto"/>
          <w:spacing w:val="4"/>
          <w:sz w:val="32"/>
          <w:szCs w:val="32"/>
          <w:highlight w:val="none"/>
        </w:rPr>
        <w:t>%</w:t>
      </w:r>
      <w:r>
        <w:rPr>
          <w:rFonts w:hint="default" w:ascii="Times New Roman" w:hAnsi="Times New Roman" w:eastAsia="方正仿宋_GBK" w:cs="Times New Roman"/>
          <w:color w:val="auto"/>
          <w:spacing w:val="4"/>
          <w:sz w:val="32"/>
          <w:szCs w:val="32"/>
          <w:highlight w:val="none"/>
        </w:rPr>
        <w:t>。</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76" w:firstLineChars="200"/>
        <w:jc w:val="both"/>
        <w:textAlignment w:val="baseline"/>
        <w:rPr>
          <w:rFonts w:hint="default" w:ascii="Times New Roman" w:hAnsi="Times New Roman" w:eastAsia="方正仿宋_GBK" w:cs="Times New Roman"/>
          <w:color w:val="auto"/>
          <w:spacing w:val="7"/>
          <w:sz w:val="32"/>
          <w:szCs w:val="32"/>
          <w:highlight w:val="none"/>
        </w:rPr>
      </w:pPr>
      <w:r>
        <w:rPr>
          <w:rFonts w:hint="eastAsia" w:ascii="Times New Roman" w:hAnsi="Times New Roman" w:eastAsia="宋体" w:cs="Times New Roman"/>
          <w:color w:val="auto"/>
          <w:spacing w:val="9"/>
          <w:sz w:val="32"/>
          <w:szCs w:val="32"/>
          <w:highlight w:val="none"/>
          <w:lang w:val="en-US" w:eastAsia="zh-CN"/>
        </w:rPr>
        <w:t>2</w:t>
      </w:r>
      <w:r>
        <w:rPr>
          <w:rFonts w:hint="default" w:ascii="Times New Roman" w:hAnsi="Times New Roman" w:eastAsia="Times New Roman" w:cs="Times New Roman"/>
          <w:color w:val="auto"/>
          <w:spacing w:val="9"/>
          <w:sz w:val="32"/>
          <w:szCs w:val="32"/>
          <w:highlight w:val="none"/>
        </w:rPr>
        <w:t>.</w:t>
      </w:r>
      <w:r>
        <w:rPr>
          <w:rFonts w:hint="default" w:ascii="Times New Roman" w:hAnsi="Times New Roman" w:eastAsia="方正仿宋_GBK" w:cs="Times New Roman"/>
          <w:b/>
          <w:bCs/>
          <w:color w:val="auto"/>
          <w:spacing w:val="9"/>
          <w:sz w:val="32"/>
          <w:szCs w:val="32"/>
          <w:highlight w:val="none"/>
        </w:rPr>
        <w:t>灾害防治及应急管理支出（类）消防救援事务（款）消</w:t>
      </w:r>
      <w:r>
        <w:rPr>
          <w:rFonts w:hint="default" w:ascii="Times New Roman" w:hAnsi="Times New Roman" w:eastAsia="方正仿宋_GBK" w:cs="Times New Roman"/>
          <w:b/>
          <w:bCs/>
          <w:color w:val="auto"/>
          <w:spacing w:val="12"/>
          <w:sz w:val="32"/>
          <w:szCs w:val="32"/>
          <w:highlight w:val="none"/>
        </w:rPr>
        <w:t>防</w:t>
      </w:r>
      <w:r>
        <w:rPr>
          <w:rFonts w:hint="default" w:ascii="Times New Roman" w:hAnsi="Times New Roman" w:eastAsia="方正仿宋_GBK" w:cs="Times New Roman"/>
          <w:b/>
          <w:bCs/>
          <w:color w:val="auto"/>
          <w:spacing w:val="12"/>
          <w:sz w:val="32"/>
          <w:szCs w:val="32"/>
          <w:highlight w:val="none"/>
          <w:lang w:val="en-US" w:eastAsia="zh-CN"/>
        </w:rPr>
        <w:t>应急救援</w:t>
      </w:r>
      <w:r>
        <w:rPr>
          <w:rFonts w:hint="default" w:ascii="Times New Roman" w:hAnsi="Times New Roman" w:eastAsia="方正仿宋_GBK" w:cs="Times New Roman"/>
          <w:b/>
          <w:bCs/>
          <w:color w:val="auto"/>
          <w:spacing w:val="12"/>
          <w:sz w:val="32"/>
          <w:szCs w:val="32"/>
          <w:highlight w:val="none"/>
        </w:rPr>
        <w:t>（项）。</w:t>
      </w:r>
      <w:r>
        <w:rPr>
          <w:rFonts w:hint="default" w:ascii="Times New Roman" w:hAnsi="Times New Roman" w:eastAsia="方正仿宋_GBK" w:cs="Times New Roman"/>
          <w:b w:val="0"/>
          <w:bCs w:val="0"/>
          <w:color w:val="auto"/>
          <w:spacing w:val="12"/>
          <w:sz w:val="32"/>
          <w:szCs w:val="32"/>
          <w:highlight w:val="none"/>
          <w:lang w:val="en-US" w:eastAsia="zh-CN"/>
        </w:rPr>
        <w:t>年初预算数为</w:t>
      </w:r>
      <w:r>
        <w:rPr>
          <w:rFonts w:hint="eastAsia" w:ascii="Times New Roman" w:hAnsi="Times New Roman" w:eastAsia="方正仿宋_GBK" w:cs="Times New Roman"/>
          <w:color w:val="auto"/>
          <w:spacing w:val="12"/>
          <w:sz w:val="32"/>
          <w:szCs w:val="32"/>
          <w:highlight w:val="none"/>
          <w:lang w:val="en-US" w:eastAsia="zh-CN"/>
        </w:rPr>
        <w:t>32.74</w:t>
      </w:r>
      <w:r>
        <w:rPr>
          <w:rFonts w:hint="default" w:ascii="Times New Roman" w:hAnsi="Times New Roman" w:eastAsia="方正仿宋_GBK" w:cs="Times New Roman"/>
          <w:color w:val="auto"/>
          <w:spacing w:val="12"/>
          <w:sz w:val="32"/>
          <w:szCs w:val="32"/>
          <w:highlight w:val="none"/>
          <w:lang w:val="en-US" w:eastAsia="zh-CN"/>
        </w:rPr>
        <w:t>万元，支出决算为</w:t>
      </w:r>
      <w:r>
        <w:rPr>
          <w:rFonts w:hint="eastAsia" w:ascii="Times New Roman" w:hAnsi="Times New Roman" w:eastAsia="方正仿宋_GBK" w:cs="Times New Roman"/>
          <w:color w:val="auto"/>
          <w:spacing w:val="12"/>
          <w:sz w:val="32"/>
          <w:szCs w:val="32"/>
          <w:highlight w:val="none"/>
          <w:lang w:val="en-US" w:eastAsia="zh-CN"/>
        </w:rPr>
        <w:t>32.74</w:t>
      </w:r>
      <w:r>
        <w:rPr>
          <w:rFonts w:hint="default" w:ascii="Times New Roman" w:hAnsi="Times New Roman" w:eastAsia="方正仿宋_GBK" w:cs="Times New Roman"/>
          <w:color w:val="auto"/>
          <w:spacing w:val="12"/>
          <w:sz w:val="32"/>
          <w:szCs w:val="32"/>
          <w:highlight w:val="none"/>
          <w:lang w:val="en-US" w:eastAsia="zh-CN"/>
        </w:rPr>
        <w:t>万元，完成年初预算数的</w:t>
      </w:r>
      <w:r>
        <w:rPr>
          <w:rFonts w:hint="eastAsia" w:ascii="Times New Roman" w:hAnsi="Times New Roman" w:eastAsia="方正仿宋_GBK" w:cs="Times New Roman"/>
          <w:color w:val="auto"/>
          <w:spacing w:val="12"/>
          <w:sz w:val="32"/>
          <w:szCs w:val="32"/>
          <w:highlight w:val="none"/>
          <w:lang w:val="en-US" w:eastAsia="zh-CN"/>
        </w:rPr>
        <w:t>100</w:t>
      </w:r>
      <w:r>
        <w:rPr>
          <w:rFonts w:hint="default" w:ascii="Times New Roman" w:hAnsi="Times New Roman" w:eastAsia="方正仿宋_GBK" w:cs="Times New Roman"/>
          <w:color w:val="auto"/>
          <w:spacing w:val="12"/>
          <w:sz w:val="32"/>
          <w:szCs w:val="32"/>
          <w:highlight w:val="none"/>
          <w:lang w:val="en-US" w:eastAsia="zh-CN"/>
        </w:rPr>
        <w:t>%。</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644"/>
        <w:jc w:val="both"/>
        <w:textAlignment w:val="baseline"/>
        <w:outlineLvl w:val="0"/>
        <w:rPr>
          <w:rFonts w:hint="default" w:ascii="Times New Roman" w:hAnsi="Times New Roman" w:eastAsia="方正黑体_GBK" w:cs="Times New Roman"/>
          <w:color w:val="auto"/>
          <w:sz w:val="32"/>
          <w:szCs w:val="32"/>
          <w:highlight w:val="none"/>
        </w:rPr>
      </w:pPr>
      <w:bookmarkStart w:id="26" w:name="bookmark21"/>
      <w:bookmarkEnd w:id="26"/>
      <w:bookmarkStart w:id="27" w:name="_Toc1951277322"/>
      <w:r>
        <w:rPr>
          <w:rFonts w:hint="default" w:ascii="Times New Roman" w:hAnsi="Times New Roman" w:eastAsia="方正黑体_GBK" w:cs="Times New Roman"/>
          <w:color w:val="auto"/>
          <w:spacing w:val="7"/>
          <w:sz w:val="32"/>
          <w:szCs w:val="32"/>
          <w:highlight w:val="none"/>
        </w:rPr>
        <w:t>六、一般公共预算财政拨款基本支出决算情况说明</w:t>
      </w:r>
      <w:bookmarkEnd w:id="27"/>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6"/>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Times New Roman" w:cs="Times New Roman"/>
          <w:color w:val="auto"/>
          <w:spacing w:val="19"/>
          <w:sz w:val="32"/>
          <w:szCs w:val="32"/>
          <w:highlight w:val="none"/>
        </w:rPr>
        <w:t>202</w:t>
      </w:r>
      <w:r>
        <w:rPr>
          <w:rFonts w:hint="default" w:ascii="Times New Roman" w:hAnsi="Times New Roman" w:eastAsia="宋体" w:cs="Times New Roman"/>
          <w:color w:val="auto"/>
          <w:spacing w:val="19"/>
          <w:sz w:val="32"/>
          <w:szCs w:val="32"/>
          <w:highlight w:val="none"/>
          <w:lang w:val="en-US" w:eastAsia="zh-CN"/>
        </w:rPr>
        <w:t>5</w:t>
      </w:r>
      <w:r>
        <w:rPr>
          <w:rFonts w:hint="default" w:ascii="Times New Roman" w:hAnsi="Times New Roman" w:eastAsia="方正仿宋_GBK" w:cs="Times New Roman"/>
          <w:color w:val="auto"/>
          <w:spacing w:val="19"/>
          <w:sz w:val="32"/>
          <w:szCs w:val="32"/>
          <w:highlight w:val="none"/>
        </w:rPr>
        <w:t>年度一般公共预算财政拨款</w:t>
      </w:r>
      <w:r>
        <w:rPr>
          <w:rFonts w:hint="default" w:ascii="Times New Roman" w:hAnsi="Times New Roman" w:eastAsia="方正仿宋_GBK" w:cs="Times New Roman"/>
          <w:color w:val="auto"/>
          <w:spacing w:val="19"/>
          <w:sz w:val="32"/>
          <w:szCs w:val="32"/>
          <w:highlight w:val="none"/>
          <w:lang w:eastAsia="zh-CN"/>
        </w:rPr>
        <w:t>基本支出</w:t>
      </w:r>
      <w:r>
        <w:rPr>
          <w:rFonts w:hint="eastAsia" w:ascii="Times New Roman" w:hAnsi="Times New Roman" w:eastAsia="方正仿宋_GBK" w:cs="Times New Roman"/>
          <w:color w:val="auto"/>
          <w:spacing w:val="19"/>
          <w:sz w:val="32"/>
          <w:szCs w:val="32"/>
          <w:highlight w:val="none"/>
          <w:lang w:val="en-US" w:eastAsia="zh-CN"/>
        </w:rPr>
        <w:t>15.5</w:t>
      </w:r>
      <w:r>
        <w:rPr>
          <w:rFonts w:hint="default" w:ascii="Times New Roman" w:hAnsi="Times New Roman" w:eastAsia="仿宋" w:cs="Times New Roman"/>
          <w:color w:val="auto"/>
          <w:spacing w:val="19"/>
          <w:sz w:val="32"/>
          <w:szCs w:val="32"/>
          <w:highlight w:val="none"/>
        </w:rPr>
        <w:t>万</w:t>
      </w:r>
      <w:r>
        <w:rPr>
          <w:rFonts w:hint="default" w:ascii="Times New Roman" w:hAnsi="Times New Roman" w:eastAsia="方正仿宋_GBK" w:cs="Times New Roman"/>
          <w:color w:val="auto"/>
          <w:spacing w:val="9"/>
          <w:sz w:val="32"/>
          <w:szCs w:val="32"/>
          <w:highlight w:val="none"/>
        </w:rPr>
        <w:t>元，其中：</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704" w:firstLineChars="200"/>
        <w:jc w:val="both"/>
        <w:textAlignment w:val="baseline"/>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16"/>
          <w:sz w:val="32"/>
          <w:szCs w:val="32"/>
          <w:highlight w:val="none"/>
        </w:rPr>
        <w:t>公用经费</w:t>
      </w:r>
      <w:r>
        <w:rPr>
          <w:rFonts w:hint="eastAsia" w:ascii="Times New Roman" w:hAnsi="Times New Roman" w:eastAsia="宋体" w:cs="Times New Roman"/>
          <w:color w:val="auto"/>
          <w:spacing w:val="16"/>
          <w:sz w:val="32"/>
          <w:szCs w:val="32"/>
          <w:highlight w:val="none"/>
          <w:lang w:val="en-US" w:eastAsia="zh-CN"/>
        </w:rPr>
        <w:t>15.5</w:t>
      </w:r>
      <w:r>
        <w:rPr>
          <w:rFonts w:hint="default" w:ascii="Times New Roman" w:hAnsi="Times New Roman" w:eastAsia="方正仿宋_GBK" w:cs="Times New Roman"/>
          <w:color w:val="auto"/>
          <w:spacing w:val="16"/>
          <w:sz w:val="32"/>
          <w:szCs w:val="32"/>
          <w:highlight w:val="none"/>
        </w:rPr>
        <w:t>万元，主要包括办公费</w:t>
      </w:r>
      <w:r>
        <w:rPr>
          <w:rFonts w:hint="default" w:ascii="Times New Roman" w:hAnsi="Times New Roman" w:eastAsia="方正仿宋_GBK" w:cs="Times New Roman"/>
          <w:color w:val="auto"/>
          <w:spacing w:val="19"/>
          <w:sz w:val="32"/>
          <w:szCs w:val="32"/>
          <w:highlight w:val="none"/>
        </w:rPr>
        <w:t>、电费</w:t>
      </w:r>
      <w:r>
        <w:rPr>
          <w:rFonts w:hint="eastAsia" w:ascii="Times New Roman" w:hAnsi="Times New Roman" w:eastAsia="方正仿宋_GBK" w:cs="Times New Roman"/>
          <w:color w:val="auto"/>
          <w:spacing w:val="19"/>
          <w:sz w:val="32"/>
          <w:szCs w:val="32"/>
          <w:highlight w:val="none"/>
          <w:lang w:eastAsia="zh-CN"/>
        </w:rPr>
        <w:t>、</w:t>
      </w:r>
      <w:r>
        <w:rPr>
          <w:rFonts w:hint="default" w:ascii="Times New Roman" w:hAnsi="Times New Roman" w:eastAsia="方正仿宋_GBK" w:cs="Times New Roman"/>
          <w:color w:val="auto"/>
          <w:spacing w:val="16"/>
          <w:sz w:val="32"/>
          <w:szCs w:val="32"/>
          <w:highlight w:val="none"/>
        </w:rPr>
        <w:t>维修（护）费</w:t>
      </w:r>
      <w:r>
        <w:rPr>
          <w:rFonts w:hint="default" w:ascii="Times New Roman" w:hAnsi="Times New Roman" w:eastAsia="方正仿宋_GBK" w:cs="Times New Roman"/>
          <w:color w:val="auto"/>
          <w:spacing w:val="18"/>
          <w:sz w:val="32"/>
          <w:szCs w:val="32"/>
          <w:highlight w:val="none"/>
        </w:rPr>
        <w:t>。</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649"/>
        <w:jc w:val="both"/>
        <w:textAlignment w:val="baseline"/>
        <w:outlineLvl w:val="0"/>
        <w:rPr>
          <w:rFonts w:hint="default" w:ascii="Times New Roman" w:hAnsi="Times New Roman" w:eastAsia="方正黑体_GBK" w:cs="Times New Roman"/>
          <w:color w:val="auto"/>
          <w:sz w:val="32"/>
          <w:szCs w:val="32"/>
          <w:highlight w:val="none"/>
        </w:rPr>
      </w:pPr>
      <w:bookmarkStart w:id="28" w:name="bookmark22"/>
      <w:bookmarkEnd w:id="28"/>
      <w:bookmarkStart w:id="29" w:name="_Toc660977863"/>
      <w:r>
        <w:rPr>
          <w:rFonts w:hint="default" w:ascii="Times New Roman" w:hAnsi="Times New Roman" w:eastAsia="方正黑体_GBK" w:cs="Times New Roman"/>
          <w:color w:val="auto"/>
          <w:spacing w:val="7"/>
          <w:sz w:val="32"/>
          <w:szCs w:val="32"/>
          <w:highlight w:val="none"/>
        </w:rPr>
        <w:t>七、财政拨款</w:t>
      </w:r>
      <w:r>
        <w:rPr>
          <w:rFonts w:hint="eastAsia" w:ascii="Times New Roman" w:hAnsi="Times New Roman" w:eastAsia="方正黑体_GBK" w:cs="Times New Roman"/>
          <w:color w:val="auto"/>
          <w:spacing w:val="-42"/>
          <w:sz w:val="32"/>
          <w:szCs w:val="32"/>
          <w:highlight w:val="none"/>
          <w:lang w:eastAsia="zh-CN"/>
        </w:rPr>
        <w:t>“</w:t>
      </w:r>
      <w:r>
        <w:rPr>
          <w:rFonts w:hint="default" w:ascii="Times New Roman" w:hAnsi="Times New Roman" w:eastAsia="方正黑体_GBK" w:cs="Times New Roman"/>
          <w:color w:val="auto"/>
          <w:spacing w:val="-42"/>
          <w:sz w:val="32"/>
          <w:szCs w:val="32"/>
          <w:highlight w:val="none"/>
          <w:lang w:eastAsia="zh-CN"/>
        </w:rPr>
        <w:t>三公”经费</w:t>
      </w:r>
      <w:r>
        <w:rPr>
          <w:rFonts w:hint="default" w:ascii="Times New Roman" w:hAnsi="Times New Roman" w:eastAsia="方正黑体_GBK" w:cs="Times New Roman"/>
          <w:color w:val="auto"/>
          <w:spacing w:val="7"/>
          <w:sz w:val="32"/>
          <w:szCs w:val="32"/>
          <w:highlight w:val="none"/>
        </w:rPr>
        <w:t>支出决算情况说明</w:t>
      </w:r>
      <w:bookmarkEnd w:id="29"/>
    </w:p>
    <w:p>
      <w:pPr>
        <w:keepNext w:val="0"/>
        <w:keepLines w:val="0"/>
        <w:pageBreakBefore w:val="0"/>
        <w:widowControl/>
        <w:kinsoku/>
        <w:wordWrap/>
        <w:overflowPunct w:val="0"/>
        <w:topLinePunct w:val="0"/>
        <w:autoSpaceDE w:val="0"/>
        <w:autoSpaceDN w:val="0"/>
        <w:bidi w:val="0"/>
        <w:adjustRightInd w:val="0"/>
        <w:snapToGrid w:val="0"/>
        <w:spacing w:line="600" w:lineRule="exact"/>
        <w:ind w:firstLine="672" w:firstLineChars="200"/>
        <w:jc w:val="both"/>
        <w:textAlignment w:val="baseline"/>
        <w:outlineLvl w:val="9"/>
        <w:rPr>
          <w:rFonts w:hint="default" w:ascii="Times New Roman" w:hAnsi="Times New Roman" w:eastAsia="方正楷体_GBK" w:cs="Times New Roman"/>
          <w:b w:val="0"/>
          <w:bCs w:val="0"/>
          <w:color w:val="auto"/>
          <w:sz w:val="32"/>
          <w:szCs w:val="32"/>
          <w:highlight w:val="none"/>
        </w:rPr>
      </w:pPr>
      <w:bookmarkStart w:id="30" w:name="_Toc615141055"/>
      <w:r>
        <w:rPr>
          <w:rFonts w:hint="default" w:ascii="Times New Roman" w:hAnsi="Times New Roman" w:eastAsia="方正楷体_GBK" w:cs="Times New Roman"/>
          <w:b w:val="0"/>
          <w:bCs w:val="0"/>
          <w:color w:val="auto"/>
          <w:spacing w:val="8"/>
          <w:sz w:val="32"/>
          <w:szCs w:val="32"/>
          <w:highlight w:val="none"/>
        </w:rPr>
        <w:t>（一）财政拨款</w:t>
      </w:r>
      <w:r>
        <w:rPr>
          <w:rFonts w:hint="eastAsia" w:ascii="Times New Roman" w:hAnsi="Times New Roman" w:eastAsia="宋体" w:cs="Times New Roman"/>
          <w:b w:val="0"/>
          <w:bCs w:val="0"/>
          <w:color w:val="auto"/>
          <w:spacing w:val="8"/>
          <w:sz w:val="32"/>
          <w:szCs w:val="32"/>
          <w:highlight w:val="none"/>
          <w:lang w:eastAsia="zh-CN"/>
        </w:rPr>
        <w:t>“</w:t>
      </w:r>
      <w:r>
        <w:rPr>
          <w:rFonts w:hint="default" w:ascii="Times New Roman" w:hAnsi="Times New Roman" w:eastAsia="方正楷体_GBK" w:cs="Times New Roman"/>
          <w:b w:val="0"/>
          <w:bCs w:val="0"/>
          <w:color w:val="auto"/>
          <w:spacing w:val="8"/>
          <w:sz w:val="32"/>
          <w:szCs w:val="32"/>
          <w:highlight w:val="none"/>
        </w:rPr>
        <w:t>三公</w:t>
      </w:r>
      <w:r>
        <w:rPr>
          <w:rFonts w:hint="default" w:ascii="Times New Roman" w:hAnsi="Times New Roman" w:eastAsia="Times New Roman" w:cs="Times New Roman"/>
          <w:b w:val="0"/>
          <w:bCs w:val="0"/>
          <w:color w:val="auto"/>
          <w:spacing w:val="8"/>
          <w:sz w:val="32"/>
          <w:szCs w:val="32"/>
          <w:highlight w:val="none"/>
        </w:rPr>
        <w:t>”</w:t>
      </w:r>
      <w:r>
        <w:rPr>
          <w:rFonts w:hint="default" w:ascii="Times New Roman" w:hAnsi="Times New Roman" w:eastAsia="方正楷体_GBK" w:cs="Times New Roman"/>
          <w:b w:val="0"/>
          <w:bCs w:val="0"/>
          <w:color w:val="auto"/>
          <w:spacing w:val="8"/>
          <w:sz w:val="32"/>
          <w:szCs w:val="32"/>
          <w:highlight w:val="none"/>
        </w:rPr>
        <w:t>经费支出决算总体情况说明</w:t>
      </w:r>
      <w:bookmarkEnd w:id="30"/>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color w:val="auto"/>
          <w:spacing w:val="4"/>
          <w:sz w:val="32"/>
          <w:szCs w:val="32"/>
          <w:highlight w:val="none"/>
        </w:rPr>
        <w:t>桂东县消防救援大队202</w:t>
      </w:r>
      <w:r>
        <w:rPr>
          <w:rFonts w:hint="eastAsia" w:ascii="Times New Roman" w:hAnsi="Times New Roman" w:eastAsia="方正仿宋_GBK" w:cs="Times New Roman"/>
          <w:color w:val="auto"/>
          <w:spacing w:val="4"/>
          <w:sz w:val="32"/>
          <w:szCs w:val="32"/>
          <w:highlight w:val="none"/>
          <w:lang w:val="en-US" w:eastAsia="zh-CN"/>
        </w:rPr>
        <w:t>5</w:t>
      </w:r>
      <w:r>
        <w:rPr>
          <w:rFonts w:hint="default" w:ascii="Times New Roman" w:hAnsi="Times New Roman" w:eastAsia="方正仿宋_GBK" w:cs="Times New Roman"/>
          <w:color w:val="auto"/>
          <w:spacing w:val="4"/>
          <w:sz w:val="32"/>
          <w:szCs w:val="32"/>
          <w:highlight w:val="none"/>
        </w:rPr>
        <w:t>年没有使用财政拨款安排“三公”经费支出。</w:t>
      </w:r>
    </w:p>
    <w:p>
      <w:pPr>
        <w:keepNext w:val="0"/>
        <w:keepLines w:val="0"/>
        <w:pageBreakBefore w:val="0"/>
        <w:widowControl/>
        <w:kinsoku/>
        <w:wordWrap/>
        <w:overflowPunct w:val="0"/>
        <w:topLinePunct w:val="0"/>
        <w:autoSpaceDE w:val="0"/>
        <w:autoSpaceDN w:val="0"/>
        <w:bidi w:val="0"/>
        <w:adjustRightInd w:val="0"/>
        <w:snapToGrid w:val="0"/>
        <w:spacing w:before="1" w:line="600" w:lineRule="exact"/>
        <w:ind w:left="635"/>
        <w:jc w:val="both"/>
        <w:textAlignment w:val="baseline"/>
        <w:outlineLvl w:val="0"/>
        <w:rPr>
          <w:rFonts w:hint="default" w:ascii="Times New Roman" w:hAnsi="Times New Roman" w:eastAsia="方正黑体_GBK" w:cs="Times New Roman"/>
          <w:color w:val="auto"/>
          <w:spacing w:val="9"/>
          <w:sz w:val="32"/>
          <w:szCs w:val="32"/>
          <w:highlight w:val="none"/>
        </w:rPr>
      </w:pPr>
      <w:bookmarkStart w:id="31" w:name="bookmark23"/>
      <w:bookmarkEnd w:id="31"/>
      <w:bookmarkStart w:id="32" w:name="_Toc286975877"/>
      <w:r>
        <w:rPr>
          <w:rFonts w:hint="default" w:ascii="Times New Roman" w:hAnsi="Times New Roman" w:eastAsia="方正黑体_GBK" w:cs="Times New Roman"/>
          <w:color w:val="auto"/>
          <w:spacing w:val="9"/>
          <w:sz w:val="32"/>
          <w:szCs w:val="32"/>
          <w:highlight w:val="none"/>
        </w:rPr>
        <w:t>八、机关运行经费支出情况说明</w:t>
      </w:r>
      <w:bookmarkEnd w:id="32"/>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eastAsia" w:ascii="Times New Roman" w:hAnsi="Times New Roman" w:eastAsia="方正仿宋_GBK" w:cs="Times New Roman"/>
          <w:color w:val="auto"/>
          <w:spacing w:val="5"/>
          <w:sz w:val="32"/>
          <w:szCs w:val="32"/>
          <w:highlight w:val="yellow"/>
          <w:lang w:eastAsia="zh-CN"/>
        </w:rPr>
      </w:pPr>
      <w:r>
        <w:rPr>
          <w:rFonts w:hint="eastAsia" w:ascii="Times New Roman" w:hAnsi="Times New Roman" w:eastAsia="方正仿宋_GBK" w:cs="Times New Roman"/>
          <w:color w:val="auto"/>
          <w:spacing w:val="5"/>
          <w:sz w:val="32"/>
          <w:szCs w:val="32"/>
          <w:highlight w:val="none"/>
          <w:lang w:eastAsia="zh-CN"/>
        </w:rPr>
        <w:t>桂东县消防救援大队</w:t>
      </w:r>
      <w:r>
        <w:rPr>
          <w:rFonts w:hint="default" w:ascii="Times New Roman" w:hAnsi="Times New Roman" w:eastAsia="方正仿宋_GBK" w:cs="Times New Roman"/>
          <w:color w:val="auto"/>
          <w:spacing w:val="5"/>
          <w:sz w:val="32"/>
          <w:szCs w:val="32"/>
          <w:highlight w:val="none"/>
          <w:lang w:eastAsia="zh-CN"/>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lang w:eastAsia="zh-CN"/>
        </w:rPr>
        <w:t>年度机关运行经费支出</w:t>
      </w:r>
      <w:r>
        <w:rPr>
          <w:rFonts w:hint="eastAsia" w:ascii="Times New Roman" w:hAnsi="Times New Roman" w:eastAsia="方正仿宋_GBK" w:cs="Times New Roman"/>
          <w:color w:val="auto"/>
          <w:spacing w:val="5"/>
          <w:sz w:val="32"/>
          <w:szCs w:val="32"/>
          <w:highlight w:val="none"/>
          <w:lang w:val="en-US" w:eastAsia="zh-CN"/>
        </w:rPr>
        <w:t>15.5</w:t>
      </w:r>
      <w:r>
        <w:rPr>
          <w:rFonts w:hint="default" w:ascii="Times New Roman" w:hAnsi="Times New Roman" w:eastAsia="方正仿宋_GBK" w:cs="Times New Roman"/>
          <w:color w:val="auto"/>
          <w:spacing w:val="5"/>
          <w:sz w:val="32"/>
          <w:szCs w:val="32"/>
          <w:highlight w:val="none"/>
          <w:lang w:eastAsia="zh-CN"/>
        </w:rPr>
        <w:t>万元，较</w:t>
      </w:r>
      <w:r>
        <w:rPr>
          <w:rFonts w:hint="default" w:ascii="Times New Roman" w:hAnsi="Times New Roman" w:eastAsia="方正仿宋_GBK" w:cs="Times New Roman"/>
          <w:color w:val="auto"/>
          <w:spacing w:val="5"/>
          <w:sz w:val="32"/>
          <w:szCs w:val="32"/>
          <w:highlight w:val="none"/>
          <w:lang w:val="en-US" w:eastAsia="zh-CN"/>
        </w:rPr>
        <w:t>2024</w:t>
      </w:r>
      <w:r>
        <w:rPr>
          <w:rFonts w:hint="default" w:ascii="Times New Roman" w:hAnsi="Times New Roman" w:eastAsia="方正仿宋_GBK" w:cs="Times New Roman"/>
          <w:color w:val="auto"/>
          <w:spacing w:val="5"/>
          <w:sz w:val="32"/>
          <w:szCs w:val="32"/>
          <w:highlight w:val="none"/>
          <w:lang w:eastAsia="zh-CN"/>
        </w:rPr>
        <w:t>年度增加</w:t>
      </w:r>
      <w:r>
        <w:rPr>
          <w:rFonts w:hint="eastAsia" w:ascii="Times New Roman" w:hAnsi="Times New Roman" w:eastAsia="方正仿宋_GBK" w:cs="Times New Roman"/>
          <w:color w:val="auto"/>
          <w:spacing w:val="5"/>
          <w:sz w:val="32"/>
          <w:szCs w:val="32"/>
          <w:highlight w:val="none"/>
          <w:lang w:val="en-US" w:eastAsia="zh-CN"/>
        </w:rPr>
        <w:t>2.9</w:t>
      </w:r>
      <w:r>
        <w:rPr>
          <w:rFonts w:hint="default" w:ascii="Times New Roman" w:hAnsi="Times New Roman" w:eastAsia="方正仿宋_GBK" w:cs="Times New Roman"/>
          <w:color w:val="auto"/>
          <w:spacing w:val="5"/>
          <w:sz w:val="32"/>
          <w:szCs w:val="32"/>
          <w:highlight w:val="none"/>
          <w:lang w:eastAsia="zh-CN"/>
        </w:rPr>
        <w:t>万元，增长</w:t>
      </w:r>
      <w:r>
        <w:rPr>
          <w:rFonts w:hint="eastAsia" w:ascii="Times New Roman" w:hAnsi="Times New Roman" w:eastAsia="方正仿宋_GBK" w:cs="Times New Roman"/>
          <w:color w:val="auto"/>
          <w:spacing w:val="5"/>
          <w:sz w:val="32"/>
          <w:szCs w:val="32"/>
          <w:highlight w:val="none"/>
          <w:lang w:val="en-US" w:eastAsia="zh-CN"/>
        </w:rPr>
        <w:t>23.02</w:t>
      </w:r>
      <w:r>
        <w:rPr>
          <w:rFonts w:hint="default" w:ascii="Times New Roman" w:hAnsi="Times New Roman" w:eastAsia="方正仿宋_GBK" w:cs="Times New Roman"/>
          <w:color w:val="auto"/>
          <w:spacing w:val="5"/>
          <w:sz w:val="32"/>
          <w:szCs w:val="32"/>
          <w:highlight w:val="none"/>
          <w:lang w:eastAsia="zh-CN"/>
        </w:rPr>
        <w:t>%</w:t>
      </w:r>
      <w:r>
        <w:rPr>
          <w:rFonts w:hint="eastAsia" w:ascii="Times New Roman" w:hAnsi="Times New Roman" w:eastAsia="方正仿宋_GBK" w:cs="Times New Roman"/>
          <w:color w:val="auto"/>
          <w:spacing w:val="5"/>
          <w:sz w:val="32"/>
          <w:szCs w:val="32"/>
          <w:highlight w:val="none"/>
          <w:lang w:eastAsia="zh-CN"/>
        </w:rPr>
        <w:t>，增加的</w:t>
      </w:r>
      <w:r>
        <w:rPr>
          <w:rFonts w:hint="default" w:ascii="Times New Roman" w:hAnsi="Times New Roman" w:eastAsia="方正仿宋_GBK" w:cs="Times New Roman"/>
          <w:color w:val="auto"/>
          <w:sz w:val="32"/>
          <w:szCs w:val="32"/>
          <w:highlight w:val="none"/>
          <w:lang w:val="en-US" w:eastAsia="zh-CN"/>
        </w:rPr>
        <w:t>主要原因</w:t>
      </w:r>
      <w:r>
        <w:rPr>
          <w:rFonts w:hint="eastAsia" w:ascii="Times New Roman" w:hAnsi="Times New Roman" w:eastAsia="方正仿宋_GBK" w:cs="Times New Roman"/>
          <w:color w:val="auto"/>
          <w:sz w:val="32"/>
          <w:szCs w:val="32"/>
          <w:highlight w:val="none"/>
          <w:lang w:val="en-US" w:eastAsia="zh-CN"/>
        </w:rPr>
        <w:t>是</w:t>
      </w:r>
      <w:r>
        <w:rPr>
          <w:rFonts w:hint="default" w:ascii="Times New Roman" w:hAnsi="Times New Roman" w:eastAsia="方正仿宋_GBK" w:cs="Times New Roman"/>
          <w:color w:val="auto"/>
          <w:spacing w:val="11"/>
          <w:sz w:val="32"/>
          <w:szCs w:val="32"/>
          <w:highlight w:val="none"/>
          <w:lang w:val="en-US" w:eastAsia="zh-CN"/>
        </w:rPr>
        <w:t>中央财政根据相关规定按照标准下达公用经费</w:t>
      </w:r>
      <w:r>
        <w:rPr>
          <w:rFonts w:hint="eastAsia" w:ascii="Times New Roman" w:hAnsi="Times New Roman" w:eastAsia="方正仿宋_GBK" w:cs="Times New Roman"/>
          <w:color w:val="auto"/>
          <w:spacing w:val="5"/>
          <w:sz w:val="32"/>
          <w:szCs w:val="32"/>
          <w:highlight w:val="none"/>
          <w:lang w:eastAsia="zh-CN"/>
        </w:rPr>
        <w:t>。</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 w:line="600" w:lineRule="exact"/>
        <w:ind w:firstLine="676" w:firstLineChars="200"/>
        <w:jc w:val="both"/>
        <w:textAlignment w:val="baseline"/>
        <w:outlineLvl w:val="0"/>
        <w:rPr>
          <w:rFonts w:hint="default" w:ascii="Times New Roman" w:hAnsi="Times New Roman" w:eastAsia="方正黑体_GBK" w:cs="Times New Roman"/>
          <w:color w:val="auto"/>
          <w:spacing w:val="9"/>
          <w:sz w:val="32"/>
          <w:szCs w:val="32"/>
          <w:highlight w:val="none"/>
        </w:rPr>
      </w:pPr>
      <w:bookmarkStart w:id="33" w:name="_Toc13169103"/>
      <w:r>
        <w:rPr>
          <w:rFonts w:hint="eastAsia" w:ascii="Times New Roman" w:hAnsi="Times New Roman" w:eastAsia="方正黑体_GBK" w:cs="Times New Roman"/>
          <w:color w:val="auto"/>
          <w:spacing w:val="9"/>
          <w:sz w:val="32"/>
          <w:szCs w:val="32"/>
          <w:highlight w:val="none"/>
          <w:lang w:eastAsia="zh-CN"/>
        </w:rPr>
        <w:t>九、</w:t>
      </w:r>
      <w:r>
        <w:rPr>
          <w:rFonts w:hint="default" w:ascii="Times New Roman" w:hAnsi="Times New Roman" w:eastAsia="方正黑体_GBK" w:cs="Times New Roman"/>
          <w:color w:val="auto"/>
          <w:spacing w:val="9"/>
          <w:sz w:val="32"/>
          <w:szCs w:val="32"/>
          <w:highlight w:val="none"/>
        </w:rPr>
        <w:t>政府采购支出情况说明</w:t>
      </w:r>
      <w:bookmarkEnd w:id="33"/>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pacing w:val="5"/>
          <w:sz w:val="32"/>
          <w:szCs w:val="32"/>
          <w:highlight w:val="none"/>
          <w:lang w:eastAsia="zh-CN"/>
        </w:rPr>
      </w:pPr>
      <w:r>
        <w:rPr>
          <w:rFonts w:hint="eastAsia" w:ascii="Times New Roman" w:hAnsi="Times New Roman" w:eastAsia="方正仿宋_GBK" w:cs="Times New Roman"/>
          <w:color w:val="auto"/>
          <w:spacing w:val="5"/>
          <w:sz w:val="32"/>
          <w:szCs w:val="32"/>
          <w:highlight w:val="none"/>
          <w:lang w:eastAsia="zh-CN"/>
        </w:rPr>
        <w:t>桂东县消防救援大队</w:t>
      </w:r>
      <w:r>
        <w:rPr>
          <w:rFonts w:hint="default" w:ascii="Times New Roman" w:hAnsi="Times New Roman" w:eastAsia="方正仿宋_GBK" w:cs="Times New Roman"/>
          <w:color w:val="auto"/>
          <w:spacing w:val="5"/>
          <w:sz w:val="32"/>
          <w:szCs w:val="32"/>
          <w:highlight w:val="none"/>
          <w:lang w:eastAsia="zh-CN"/>
        </w:rPr>
        <w:t>202</w:t>
      </w:r>
      <w:r>
        <w:rPr>
          <w:rFonts w:hint="default" w:ascii="Times New Roman" w:hAnsi="Times New Roman" w:eastAsia="方正仿宋_GBK"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lang w:eastAsia="zh-CN"/>
        </w:rPr>
        <w:t>年度政府采购支出总额</w:t>
      </w:r>
      <w:r>
        <w:rPr>
          <w:rFonts w:hint="eastAsia" w:ascii="Times New Roman" w:hAnsi="Times New Roman" w:eastAsia="方正仿宋_GBK" w:cs="Times New Roman"/>
          <w:color w:val="auto"/>
          <w:spacing w:val="5"/>
          <w:sz w:val="32"/>
          <w:szCs w:val="32"/>
          <w:highlight w:val="none"/>
          <w:lang w:val="en-US" w:eastAsia="zh-CN"/>
        </w:rPr>
        <w:t>105.12</w:t>
      </w:r>
      <w:r>
        <w:rPr>
          <w:rFonts w:hint="default" w:ascii="Times New Roman" w:hAnsi="Times New Roman" w:eastAsia="方正仿宋_GBK" w:cs="Times New Roman"/>
          <w:color w:val="auto"/>
          <w:spacing w:val="5"/>
          <w:sz w:val="32"/>
          <w:szCs w:val="32"/>
          <w:highlight w:val="none"/>
          <w:lang w:eastAsia="zh-CN"/>
        </w:rPr>
        <w:t>万元，其中：政府采购货物支出</w:t>
      </w:r>
      <w:r>
        <w:rPr>
          <w:rFonts w:hint="eastAsia" w:ascii="Times New Roman" w:hAnsi="Times New Roman" w:eastAsia="方正仿宋_GBK" w:cs="Times New Roman"/>
          <w:color w:val="auto"/>
          <w:spacing w:val="5"/>
          <w:sz w:val="32"/>
          <w:szCs w:val="32"/>
          <w:highlight w:val="none"/>
          <w:lang w:val="en-US" w:eastAsia="zh-CN"/>
        </w:rPr>
        <w:t>91.12</w:t>
      </w:r>
      <w:r>
        <w:rPr>
          <w:rFonts w:hint="default" w:ascii="Times New Roman" w:hAnsi="Times New Roman" w:eastAsia="方正仿宋_GBK" w:cs="Times New Roman"/>
          <w:color w:val="auto"/>
          <w:spacing w:val="5"/>
          <w:sz w:val="32"/>
          <w:szCs w:val="32"/>
          <w:highlight w:val="none"/>
          <w:lang w:eastAsia="zh-CN"/>
        </w:rPr>
        <w:t>万元、政府采购工程支出</w:t>
      </w:r>
      <w:r>
        <w:rPr>
          <w:rFonts w:hint="eastAsia" w:ascii="Times New Roman" w:hAnsi="Times New Roman" w:eastAsia="方正仿宋_GBK" w:cs="Times New Roman"/>
          <w:color w:val="auto"/>
          <w:spacing w:val="5"/>
          <w:sz w:val="32"/>
          <w:szCs w:val="32"/>
          <w:highlight w:val="none"/>
          <w:lang w:val="en-US" w:eastAsia="zh-CN"/>
        </w:rPr>
        <w:t>0</w:t>
      </w:r>
      <w:r>
        <w:rPr>
          <w:rFonts w:hint="default" w:ascii="Times New Roman" w:hAnsi="Times New Roman" w:eastAsia="方正仿宋_GBK" w:cs="Times New Roman"/>
          <w:color w:val="auto"/>
          <w:spacing w:val="5"/>
          <w:sz w:val="32"/>
          <w:szCs w:val="32"/>
          <w:highlight w:val="none"/>
          <w:lang w:eastAsia="zh-CN"/>
        </w:rPr>
        <w:t>万元、政府采购服务支出</w:t>
      </w:r>
      <w:r>
        <w:rPr>
          <w:rFonts w:hint="eastAsia" w:ascii="Times New Roman" w:hAnsi="Times New Roman" w:eastAsia="方正仿宋_GBK" w:cs="Times New Roman"/>
          <w:color w:val="auto"/>
          <w:spacing w:val="5"/>
          <w:sz w:val="32"/>
          <w:szCs w:val="32"/>
          <w:highlight w:val="none"/>
          <w:lang w:val="en-US" w:eastAsia="zh-CN"/>
        </w:rPr>
        <w:t>14</w:t>
      </w:r>
      <w:r>
        <w:rPr>
          <w:rFonts w:hint="default" w:ascii="Times New Roman" w:hAnsi="Times New Roman" w:eastAsia="方正仿宋_GBK" w:cs="Times New Roman"/>
          <w:color w:val="auto"/>
          <w:spacing w:val="5"/>
          <w:sz w:val="32"/>
          <w:szCs w:val="32"/>
          <w:highlight w:val="none"/>
          <w:lang w:eastAsia="zh-CN"/>
        </w:rPr>
        <w:t>万元。授予中小企业合同金额</w:t>
      </w:r>
      <w:r>
        <w:rPr>
          <w:rFonts w:hint="eastAsia" w:ascii="Times New Roman" w:hAnsi="Times New Roman" w:eastAsia="方正仿宋_GBK" w:cs="Times New Roman"/>
          <w:color w:val="auto"/>
          <w:spacing w:val="5"/>
          <w:sz w:val="32"/>
          <w:szCs w:val="32"/>
          <w:highlight w:val="none"/>
          <w:lang w:val="en-US" w:eastAsia="zh-CN"/>
        </w:rPr>
        <w:t>103.2</w:t>
      </w:r>
      <w:r>
        <w:rPr>
          <w:rFonts w:hint="default" w:ascii="Times New Roman" w:hAnsi="Times New Roman" w:eastAsia="方正仿宋_GBK" w:cs="Times New Roman"/>
          <w:color w:val="auto"/>
          <w:spacing w:val="5"/>
          <w:sz w:val="32"/>
          <w:szCs w:val="32"/>
          <w:highlight w:val="none"/>
          <w:lang w:eastAsia="zh-CN"/>
        </w:rPr>
        <w:t>万元</w:t>
      </w:r>
      <w:r>
        <w:rPr>
          <w:rFonts w:hint="eastAsia" w:ascii="Times New Roman" w:hAnsi="Times New Roman" w:eastAsia="方正仿宋_GBK" w:cs="Times New Roman"/>
          <w:color w:val="auto"/>
          <w:spacing w:val="5"/>
          <w:sz w:val="32"/>
          <w:szCs w:val="32"/>
          <w:highlight w:val="none"/>
          <w:lang w:eastAsia="zh-CN"/>
        </w:rPr>
        <w:t>，</w:t>
      </w:r>
      <w:r>
        <w:rPr>
          <w:rFonts w:hint="default" w:ascii="Times New Roman" w:hAnsi="Times New Roman" w:eastAsia="方正仿宋_GBK" w:cs="Times New Roman"/>
          <w:color w:val="auto"/>
          <w:spacing w:val="5"/>
          <w:sz w:val="32"/>
          <w:szCs w:val="32"/>
          <w:highlight w:val="none"/>
          <w:lang w:eastAsia="zh-CN"/>
        </w:rPr>
        <w:t>占政府采购支出总额的</w:t>
      </w:r>
      <w:r>
        <w:rPr>
          <w:rFonts w:hint="eastAsia" w:ascii="Times New Roman" w:hAnsi="Times New Roman" w:eastAsia="方正仿宋_GBK" w:cs="Times New Roman"/>
          <w:color w:val="auto"/>
          <w:spacing w:val="5"/>
          <w:sz w:val="32"/>
          <w:szCs w:val="32"/>
          <w:highlight w:val="none"/>
          <w:lang w:val="en-US" w:eastAsia="zh-CN"/>
        </w:rPr>
        <w:t>98.17</w:t>
      </w:r>
      <w:r>
        <w:rPr>
          <w:rFonts w:hint="default" w:ascii="Times New Roman" w:hAnsi="Times New Roman" w:eastAsia="方正仿宋_GBK" w:cs="Times New Roman"/>
          <w:color w:val="auto"/>
          <w:spacing w:val="5"/>
          <w:sz w:val="32"/>
          <w:szCs w:val="32"/>
          <w:highlight w:val="none"/>
          <w:lang w:eastAsia="zh-CN"/>
        </w:rPr>
        <w:t>%，其中：授予小微企业合同金额</w:t>
      </w:r>
      <w:r>
        <w:rPr>
          <w:rFonts w:hint="eastAsia" w:ascii="Times New Roman" w:hAnsi="Times New Roman" w:eastAsia="方正仿宋_GBK" w:cs="Times New Roman"/>
          <w:color w:val="auto"/>
          <w:spacing w:val="5"/>
          <w:sz w:val="32"/>
          <w:szCs w:val="32"/>
          <w:highlight w:val="none"/>
          <w:lang w:val="en-US" w:eastAsia="zh-CN"/>
        </w:rPr>
        <w:t>87.88</w:t>
      </w:r>
      <w:r>
        <w:rPr>
          <w:rFonts w:hint="default" w:ascii="Times New Roman" w:hAnsi="Times New Roman" w:eastAsia="方正仿宋_GBK" w:cs="Times New Roman"/>
          <w:color w:val="auto"/>
          <w:spacing w:val="5"/>
          <w:sz w:val="32"/>
          <w:szCs w:val="32"/>
          <w:highlight w:val="none"/>
          <w:lang w:eastAsia="zh-CN"/>
        </w:rPr>
        <w:t>万元，占授予中小企业合同金额的</w:t>
      </w:r>
      <w:r>
        <w:rPr>
          <w:rFonts w:hint="eastAsia" w:ascii="Times New Roman" w:hAnsi="Times New Roman" w:eastAsia="方正仿宋_GBK" w:cs="Times New Roman"/>
          <w:color w:val="auto"/>
          <w:spacing w:val="5"/>
          <w:sz w:val="32"/>
          <w:szCs w:val="32"/>
          <w:highlight w:val="none"/>
          <w:lang w:val="en-US" w:eastAsia="zh-CN"/>
        </w:rPr>
        <w:t>85.16</w:t>
      </w:r>
      <w:r>
        <w:rPr>
          <w:rFonts w:hint="default" w:ascii="Times New Roman" w:hAnsi="Times New Roman" w:eastAsia="方正仿宋_GBK" w:cs="Times New Roman"/>
          <w:color w:val="auto"/>
          <w:spacing w:val="5"/>
          <w:sz w:val="32"/>
          <w:szCs w:val="32"/>
          <w:highlight w:val="none"/>
          <w:lang w:eastAsia="zh-CN"/>
        </w:rPr>
        <w:t>%；货物采购授予中小企业合同金额占货物支出金额的</w:t>
      </w:r>
      <w:r>
        <w:rPr>
          <w:rFonts w:hint="eastAsia" w:ascii="Times New Roman" w:hAnsi="Times New Roman" w:eastAsia="方正仿宋_GBK" w:cs="Times New Roman"/>
          <w:color w:val="auto"/>
          <w:spacing w:val="5"/>
          <w:sz w:val="32"/>
          <w:szCs w:val="32"/>
          <w:highlight w:val="none"/>
          <w:lang w:val="en-US" w:eastAsia="zh-CN"/>
        </w:rPr>
        <w:t>97.89</w:t>
      </w:r>
      <w:r>
        <w:rPr>
          <w:rFonts w:hint="default" w:ascii="Times New Roman" w:hAnsi="Times New Roman" w:eastAsia="方正仿宋_GBK" w:cs="Times New Roman"/>
          <w:color w:val="auto"/>
          <w:spacing w:val="5"/>
          <w:sz w:val="32"/>
          <w:szCs w:val="32"/>
          <w:highlight w:val="none"/>
          <w:lang w:eastAsia="zh-CN"/>
        </w:rPr>
        <w:t>%，服务采购授予中小企业合同金额占服务支出金额的</w:t>
      </w:r>
      <w:r>
        <w:rPr>
          <w:rFonts w:hint="eastAsia" w:ascii="Times New Roman" w:hAnsi="Times New Roman" w:eastAsia="方正仿宋_GBK" w:cs="Times New Roman"/>
          <w:color w:val="auto"/>
          <w:spacing w:val="5"/>
          <w:sz w:val="32"/>
          <w:szCs w:val="32"/>
          <w:highlight w:val="none"/>
          <w:lang w:val="en-US" w:eastAsia="zh-CN"/>
        </w:rPr>
        <w:t>100</w:t>
      </w:r>
      <w:r>
        <w:rPr>
          <w:rFonts w:hint="default" w:ascii="Times New Roman" w:hAnsi="Times New Roman" w:eastAsia="方正仿宋_GBK" w:cs="Times New Roman"/>
          <w:color w:val="auto"/>
          <w:spacing w:val="5"/>
          <w:sz w:val="32"/>
          <w:szCs w:val="32"/>
          <w:highlight w:val="none"/>
          <w:lang w:eastAsia="zh-CN"/>
        </w:rPr>
        <w:t>%。</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 w:line="600" w:lineRule="exact"/>
        <w:ind w:firstLine="676" w:firstLineChars="200"/>
        <w:jc w:val="both"/>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4" w:name="bookmark25"/>
      <w:bookmarkEnd w:id="34"/>
      <w:bookmarkStart w:id="35" w:name="_Toc1738618549"/>
      <w:r>
        <w:rPr>
          <w:rFonts w:hint="default" w:ascii="Times New Roman" w:hAnsi="Times New Roman" w:eastAsia="方正黑体_GBK" w:cs="Times New Roman"/>
          <w:color w:val="auto"/>
          <w:spacing w:val="9"/>
          <w:sz w:val="32"/>
          <w:szCs w:val="32"/>
          <w:highlight w:val="none"/>
          <w:lang w:eastAsia="zh-CN"/>
        </w:rPr>
        <w:t>十、国有资产占用情况说明</w:t>
      </w:r>
      <w:bookmarkEnd w:id="35"/>
    </w:p>
    <w:p>
      <w:pPr>
        <w:keepNext w:val="0"/>
        <w:keepLines w:val="0"/>
        <w:pageBreakBefore w:val="0"/>
        <w:widowControl/>
        <w:kinsoku/>
        <w:wordWrap/>
        <w:overflowPunct w:val="0"/>
        <w:topLinePunct w:val="0"/>
        <w:autoSpaceDE w:val="0"/>
        <w:autoSpaceDN w:val="0"/>
        <w:bidi w:val="0"/>
        <w:adjustRightInd w:val="0"/>
        <w:snapToGrid w:val="0"/>
        <w:spacing w:line="600" w:lineRule="exact"/>
        <w:ind w:firstLine="668" w:firstLineChars="200"/>
        <w:jc w:val="both"/>
        <w:textAlignment w:val="baseline"/>
        <w:rPr>
          <w:rFonts w:hint="default" w:ascii="Times New Roman" w:hAnsi="Times New Roman" w:eastAsia="方正仿宋_GBK" w:cs="Times New Roman"/>
          <w:color w:val="auto"/>
          <w:spacing w:val="7"/>
          <w:sz w:val="32"/>
          <w:szCs w:val="32"/>
          <w:highlight w:val="none"/>
          <w:lang w:val="en-US" w:eastAsia="zh-CN"/>
        </w:rPr>
      </w:pPr>
      <w:r>
        <w:rPr>
          <w:rFonts w:hint="default" w:ascii="Times New Roman" w:hAnsi="Times New Roman" w:eastAsia="方正仿宋_GBK" w:cs="Times New Roman"/>
          <w:color w:val="auto"/>
          <w:spacing w:val="7"/>
          <w:sz w:val="32"/>
          <w:szCs w:val="32"/>
          <w:highlight w:val="none"/>
          <w:lang w:val="en-US" w:eastAsia="zh-CN"/>
        </w:rPr>
        <w:t>截至2025年12月31日，</w:t>
      </w:r>
      <w:r>
        <w:rPr>
          <w:rFonts w:hint="eastAsia" w:ascii="Times New Roman" w:hAnsi="Times New Roman" w:eastAsia="方正仿宋_GBK" w:cs="Times New Roman"/>
          <w:color w:val="auto"/>
          <w:spacing w:val="7"/>
          <w:sz w:val="32"/>
          <w:szCs w:val="32"/>
          <w:highlight w:val="none"/>
          <w:lang w:val="en-US" w:eastAsia="zh-CN"/>
        </w:rPr>
        <w:t>桂东县消防救援大队</w:t>
      </w:r>
      <w:r>
        <w:rPr>
          <w:rFonts w:hint="default" w:ascii="Times New Roman" w:hAnsi="Times New Roman" w:eastAsia="方正仿宋_GBK" w:cs="Times New Roman"/>
          <w:color w:val="auto"/>
          <w:spacing w:val="7"/>
          <w:sz w:val="32"/>
          <w:szCs w:val="32"/>
          <w:highlight w:val="none"/>
          <w:lang w:val="en-US" w:eastAsia="zh-CN"/>
        </w:rPr>
        <w:t>共有车辆</w:t>
      </w:r>
      <w:r>
        <w:rPr>
          <w:rFonts w:hint="eastAsia" w:ascii="Times New Roman" w:hAnsi="Times New Roman" w:eastAsia="方正仿宋_GBK" w:cs="Times New Roman"/>
          <w:color w:val="auto"/>
          <w:spacing w:val="7"/>
          <w:sz w:val="32"/>
          <w:szCs w:val="32"/>
          <w:highlight w:val="none"/>
          <w:lang w:val="en-US" w:eastAsia="zh-CN"/>
        </w:rPr>
        <w:t>14</w:t>
      </w:r>
      <w:r>
        <w:rPr>
          <w:rFonts w:hint="default" w:ascii="Times New Roman" w:hAnsi="Times New Roman" w:eastAsia="方正仿宋_GBK" w:cs="Times New Roman"/>
          <w:color w:val="auto"/>
          <w:spacing w:val="7"/>
          <w:sz w:val="32"/>
          <w:szCs w:val="32"/>
          <w:highlight w:val="none"/>
          <w:lang w:val="en-US" w:eastAsia="zh-CN"/>
        </w:rPr>
        <w:t>辆，其中，应急保障用车</w:t>
      </w:r>
      <w:r>
        <w:rPr>
          <w:rFonts w:hint="eastAsia" w:ascii="Times New Roman" w:hAnsi="Times New Roman" w:eastAsia="方正仿宋_GBK" w:cs="Times New Roman"/>
          <w:color w:val="auto"/>
          <w:spacing w:val="7"/>
          <w:sz w:val="32"/>
          <w:szCs w:val="32"/>
          <w:highlight w:val="none"/>
          <w:lang w:val="en-US" w:eastAsia="zh-CN"/>
        </w:rPr>
        <w:t>1</w:t>
      </w:r>
      <w:r>
        <w:rPr>
          <w:rFonts w:hint="default" w:ascii="Times New Roman" w:hAnsi="Times New Roman" w:eastAsia="方正仿宋_GBK" w:cs="Times New Roman"/>
          <w:color w:val="auto"/>
          <w:spacing w:val="7"/>
          <w:sz w:val="32"/>
          <w:szCs w:val="32"/>
          <w:highlight w:val="none"/>
          <w:lang w:val="en-US" w:eastAsia="zh-CN"/>
        </w:rPr>
        <w:t>辆、特种专业技术用车</w:t>
      </w:r>
      <w:r>
        <w:rPr>
          <w:rFonts w:hint="eastAsia" w:ascii="Times New Roman" w:hAnsi="Times New Roman" w:eastAsia="方正仿宋_GBK" w:cs="Times New Roman"/>
          <w:color w:val="auto"/>
          <w:spacing w:val="7"/>
          <w:sz w:val="32"/>
          <w:szCs w:val="32"/>
          <w:highlight w:val="none"/>
          <w:lang w:val="en-US" w:eastAsia="zh-CN"/>
        </w:rPr>
        <w:t>13</w:t>
      </w:r>
      <w:r>
        <w:rPr>
          <w:rFonts w:hint="default" w:ascii="Times New Roman" w:hAnsi="Times New Roman" w:eastAsia="方正仿宋_GBK" w:cs="Times New Roman"/>
          <w:color w:val="auto"/>
          <w:spacing w:val="7"/>
          <w:sz w:val="32"/>
          <w:szCs w:val="32"/>
          <w:highlight w:val="none"/>
          <w:lang w:val="en-US" w:eastAsia="zh-CN"/>
        </w:rPr>
        <w:t>辆</w:t>
      </w:r>
      <w:r>
        <w:rPr>
          <w:rFonts w:hint="eastAsia" w:ascii="Times New Roman" w:hAnsi="Times New Roman" w:eastAsia="方正仿宋_GBK" w:cs="Times New Roman"/>
          <w:color w:val="auto"/>
          <w:spacing w:val="7"/>
          <w:sz w:val="32"/>
          <w:szCs w:val="32"/>
          <w:highlight w:val="none"/>
          <w:lang w:val="en-US" w:eastAsia="zh-CN"/>
        </w:rPr>
        <w:t>，无</w:t>
      </w:r>
      <w:r>
        <w:rPr>
          <w:rFonts w:hint="default" w:ascii="Times New Roman" w:hAnsi="Times New Roman" w:eastAsia="方正仿宋_GBK" w:cs="Times New Roman"/>
          <w:color w:val="auto"/>
          <w:spacing w:val="7"/>
          <w:sz w:val="32"/>
          <w:szCs w:val="32"/>
          <w:highlight w:val="none"/>
          <w:lang w:val="en-US" w:eastAsia="zh-CN"/>
        </w:rPr>
        <w:t>单位价值100万元以上的专用设备。</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 w:line="600" w:lineRule="exact"/>
        <w:ind w:firstLine="676" w:firstLineChars="200"/>
        <w:jc w:val="both"/>
        <w:textAlignment w:val="baseline"/>
        <w:outlineLvl w:val="0"/>
        <w:rPr>
          <w:rFonts w:hint="default" w:ascii="Times New Roman" w:hAnsi="Times New Roman" w:eastAsia="方正黑体_GBK" w:cs="Times New Roman"/>
          <w:color w:val="auto"/>
          <w:spacing w:val="9"/>
          <w:sz w:val="32"/>
          <w:szCs w:val="32"/>
          <w:highlight w:val="none"/>
          <w:lang w:eastAsia="zh-CN"/>
        </w:rPr>
      </w:pPr>
      <w:bookmarkStart w:id="36" w:name="bookmark26"/>
      <w:bookmarkEnd w:id="36"/>
      <w:bookmarkStart w:id="37" w:name="_Toc642847263"/>
      <w:r>
        <w:rPr>
          <w:rFonts w:hint="default" w:ascii="Times New Roman" w:hAnsi="Times New Roman" w:eastAsia="方正黑体_GBK" w:cs="Times New Roman"/>
          <w:color w:val="auto"/>
          <w:spacing w:val="9"/>
          <w:sz w:val="32"/>
          <w:szCs w:val="32"/>
          <w:highlight w:val="none"/>
          <w:lang w:eastAsia="zh-CN"/>
        </w:rPr>
        <w:t>十一、关于202</w:t>
      </w:r>
      <w:r>
        <w:rPr>
          <w:rFonts w:hint="default" w:ascii="Times New Roman" w:hAnsi="Times New Roman" w:eastAsia="方正黑体_GBK" w:cs="Times New Roman"/>
          <w:color w:val="auto"/>
          <w:spacing w:val="9"/>
          <w:sz w:val="32"/>
          <w:szCs w:val="32"/>
          <w:highlight w:val="none"/>
          <w:lang w:val="en-US" w:eastAsia="zh-CN"/>
        </w:rPr>
        <w:t>5</w:t>
      </w:r>
      <w:r>
        <w:rPr>
          <w:rFonts w:hint="default" w:ascii="Times New Roman" w:hAnsi="Times New Roman" w:eastAsia="方正黑体_GBK" w:cs="Times New Roman"/>
          <w:color w:val="auto"/>
          <w:spacing w:val="9"/>
          <w:sz w:val="32"/>
          <w:szCs w:val="32"/>
          <w:highlight w:val="none"/>
          <w:lang w:eastAsia="zh-CN"/>
        </w:rPr>
        <w:t>年度绩效评价情况的说明</w:t>
      </w:r>
      <w:bookmarkEnd w:id="37"/>
    </w:p>
    <w:p>
      <w:pPr>
        <w:keepNext w:val="0"/>
        <w:keepLines w:val="0"/>
        <w:pageBreakBefore w:val="0"/>
        <w:widowControl/>
        <w:kinsoku/>
        <w:wordWrap/>
        <w:overflowPunct w:val="0"/>
        <w:topLinePunct w:val="0"/>
        <w:autoSpaceDE w:val="0"/>
        <w:autoSpaceDN w:val="0"/>
        <w:bidi w:val="0"/>
        <w:adjustRightInd w:val="0"/>
        <w:snapToGrid w:val="0"/>
        <w:spacing w:line="600" w:lineRule="exact"/>
        <w:ind w:left="0" w:firstLine="684" w:firstLineChars="200"/>
        <w:jc w:val="both"/>
        <w:textAlignment w:val="baseline"/>
        <w:outlineLvl w:val="9"/>
        <w:rPr>
          <w:rFonts w:hint="default" w:ascii="Times New Roman" w:hAnsi="Times New Roman" w:eastAsia="方正楷体_GBK" w:cs="Times New Roman"/>
          <w:b w:val="0"/>
          <w:bCs w:val="0"/>
          <w:color w:val="auto"/>
          <w:sz w:val="32"/>
          <w:szCs w:val="32"/>
          <w:highlight w:val="none"/>
        </w:rPr>
      </w:pPr>
      <w:bookmarkStart w:id="38" w:name="_Toc1231291882"/>
      <w:r>
        <w:rPr>
          <w:rFonts w:hint="default" w:ascii="Times New Roman" w:hAnsi="Times New Roman" w:eastAsia="方正楷体_GBK" w:cs="Times New Roman"/>
          <w:b w:val="0"/>
          <w:bCs w:val="0"/>
          <w:color w:val="auto"/>
          <w:spacing w:val="11"/>
          <w:sz w:val="32"/>
          <w:szCs w:val="32"/>
          <w:highlight w:val="none"/>
        </w:rPr>
        <w:t>（一）绩效评价工作开展情况</w:t>
      </w:r>
      <w:bookmarkEnd w:id="38"/>
    </w:p>
    <w:p>
      <w:pPr>
        <w:keepNext w:val="0"/>
        <w:keepLines w:val="0"/>
        <w:pageBreakBefore w:val="0"/>
        <w:widowControl/>
        <w:kinsoku/>
        <w:wordWrap/>
        <w:overflowPunct w:val="0"/>
        <w:topLinePunct w:val="0"/>
        <w:bidi w:val="0"/>
        <w:spacing w:line="540" w:lineRule="exact"/>
        <w:ind w:firstLine="660" w:firstLineChars="200"/>
        <w:jc w:val="both"/>
        <w:outlineLvl w:val="9"/>
        <w:rPr>
          <w:rFonts w:hint="eastAsia"/>
          <w:sz w:val="32"/>
          <w:szCs w:val="32"/>
          <w:lang w:val="en-US" w:eastAsia="zh-CN"/>
        </w:rPr>
      </w:pPr>
      <w:r>
        <w:rPr>
          <w:rFonts w:hint="default" w:ascii="Times New Roman" w:hAnsi="Times New Roman" w:eastAsia="方正仿宋_GBK" w:cs="Times New Roman"/>
          <w:color w:val="auto"/>
          <w:spacing w:val="5"/>
          <w:sz w:val="32"/>
          <w:szCs w:val="32"/>
          <w:highlight w:val="none"/>
        </w:rPr>
        <w:t>根据预算绩效管理要求，</w:t>
      </w:r>
      <w:r>
        <w:rPr>
          <w:rFonts w:hint="eastAsia" w:ascii="Times New Roman" w:hAnsi="Times New Roman" w:eastAsia="方正仿宋_GBK" w:cs="Times New Roman"/>
          <w:color w:val="auto"/>
          <w:spacing w:val="5"/>
          <w:sz w:val="32"/>
          <w:szCs w:val="32"/>
          <w:highlight w:val="none"/>
          <w:lang w:eastAsia="zh-CN"/>
        </w:rPr>
        <w:t>桂东县消防救援大队</w:t>
      </w:r>
      <w:r>
        <w:rPr>
          <w:rFonts w:hint="default" w:ascii="Times New Roman" w:hAnsi="Times New Roman" w:eastAsia="方正仿宋_GBK" w:cs="Times New Roman"/>
          <w:color w:val="auto"/>
          <w:spacing w:val="5"/>
          <w:sz w:val="32"/>
          <w:szCs w:val="32"/>
          <w:highlight w:val="none"/>
        </w:rPr>
        <w:t>组织对</w:t>
      </w:r>
      <w:r>
        <w:rPr>
          <w:rFonts w:hint="default" w:ascii="Times New Roman" w:hAnsi="Times New Roman" w:eastAsia="Times New Roman" w:cs="Times New Roman"/>
          <w:color w:val="auto"/>
          <w:spacing w:val="5"/>
          <w:sz w:val="32"/>
          <w:szCs w:val="32"/>
          <w:highlight w:val="none"/>
        </w:rPr>
        <w:t>202</w:t>
      </w:r>
      <w:r>
        <w:rPr>
          <w:rFonts w:hint="default" w:ascii="Times New Roman" w:hAnsi="Times New Roman" w:eastAsia="宋体" w:cs="Times New Roman"/>
          <w:color w:val="auto"/>
          <w:spacing w:val="5"/>
          <w:sz w:val="32"/>
          <w:szCs w:val="32"/>
          <w:highlight w:val="none"/>
          <w:lang w:val="en-US" w:eastAsia="zh-CN"/>
        </w:rPr>
        <w:t>5</w:t>
      </w:r>
      <w:r>
        <w:rPr>
          <w:rFonts w:hint="default" w:ascii="Times New Roman" w:hAnsi="Times New Roman" w:eastAsia="方正仿宋_GBK" w:cs="Times New Roman"/>
          <w:color w:val="auto"/>
          <w:spacing w:val="5"/>
          <w:sz w:val="32"/>
          <w:szCs w:val="32"/>
          <w:highlight w:val="none"/>
        </w:rPr>
        <w:t>年度</w:t>
      </w:r>
      <w:r>
        <w:rPr>
          <w:rFonts w:hint="default" w:ascii="Times New Roman" w:hAnsi="Times New Roman" w:eastAsia="方正仿宋_GBK" w:cs="Times New Roman"/>
          <w:color w:val="auto"/>
          <w:spacing w:val="-3"/>
          <w:sz w:val="32"/>
          <w:szCs w:val="32"/>
          <w:highlight w:val="none"/>
        </w:rPr>
        <w:t>一般公共预算项目支出全面开</w:t>
      </w:r>
      <w:r>
        <w:rPr>
          <w:rFonts w:hint="default" w:ascii="Times New Roman" w:hAnsi="Times New Roman" w:eastAsia="方正仿宋_GBK" w:cs="Times New Roman"/>
          <w:color w:val="auto"/>
          <w:spacing w:val="5"/>
          <w:sz w:val="32"/>
          <w:szCs w:val="32"/>
          <w:highlight w:val="none"/>
        </w:rPr>
        <w:t>展绩效自评。2025年</w:t>
      </w:r>
      <w:r>
        <w:rPr>
          <w:rFonts w:hint="eastAsia" w:ascii="Times New Roman" w:hAnsi="Times New Roman" w:eastAsia="方正仿宋_GBK" w:cs="Times New Roman"/>
          <w:color w:val="auto"/>
          <w:spacing w:val="5"/>
          <w:sz w:val="32"/>
          <w:szCs w:val="32"/>
          <w:highlight w:val="none"/>
          <w:lang w:eastAsia="zh-CN"/>
        </w:rPr>
        <w:t>度</w:t>
      </w:r>
      <w:r>
        <w:rPr>
          <w:rFonts w:hint="default" w:ascii="Times New Roman" w:hAnsi="Times New Roman" w:eastAsia="方正仿宋_GBK" w:cs="Times New Roman"/>
          <w:color w:val="auto"/>
          <w:spacing w:val="5"/>
          <w:sz w:val="32"/>
          <w:szCs w:val="32"/>
          <w:highlight w:val="none"/>
        </w:rPr>
        <w:t>年初批复项目</w:t>
      </w:r>
      <w:r>
        <w:rPr>
          <w:rFonts w:hint="eastAsia" w:ascii="Times New Roman" w:hAnsi="Times New Roman" w:eastAsia="方正仿宋_GBK" w:cs="Times New Roman"/>
          <w:color w:val="auto"/>
          <w:spacing w:val="5"/>
          <w:sz w:val="32"/>
          <w:szCs w:val="32"/>
          <w:highlight w:val="none"/>
          <w:lang w:val="en-US" w:eastAsia="zh-CN"/>
        </w:rPr>
        <w:t>4</w:t>
      </w:r>
      <w:r>
        <w:rPr>
          <w:rFonts w:hint="default" w:ascii="Times New Roman" w:hAnsi="Times New Roman" w:eastAsia="方正仿宋_GBK" w:cs="Times New Roman"/>
          <w:color w:val="auto"/>
          <w:spacing w:val="5"/>
          <w:sz w:val="32"/>
          <w:szCs w:val="32"/>
          <w:highlight w:val="none"/>
        </w:rPr>
        <w:t>个，</w:t>
      </w:r>
      <w:r>
        <w:rPr>
          <w:rFonts w:hint="eastAsia" w:ascii="Times New Roman" w:hAnsi="Times New Roman" w:eastAsia="方正仿宋_GBK" w:cs="Times New Roman"/>
          <w:color w:val="auto"/>
          <w:spacing w:val="5"/>
          <w:sz w:val="32"/>
          <w:szCs w:val="32"/>
          <w:highlight w:val="none"/>
          <w:lang w:val="en-US" w:eastAsia="zh-CN"/>
        </w:rPr>
        <w:t>涉及资金673.1</w:t>
      </w:r>
      <w:r>
        <w:rPr>
          <w:rFonts w:hint="default" w:ascii="Times New Roman" w:hAnsi="Times New Roman" w:eastAsia="方正仿宋_GBK" w:cs="Times New Roman"/>
          <w:color w:val="auto"/>
          <w:spacing w:val="5"/>
          <w:sz w:val="32"/>
          <w:szCs w:val="32"/>
          <w:highlight w:val="none"/>
        </w:rPr>
        <w:t>万元</w:t>
      </w:r>
      <w:r>
        <w:rPr>
          <w:rFonts w:hint="eastAsia" w:ascii="Times New Roman" w:hAnsi="Times New Roman" w:eastAsia="方正仿宋_GBK" w:cs="Times New Roman"/>
          <w:color w:val="auto"/>
          <w:spacing w:val="5"/>
          <w:sz w:val="32"/>
          <w:szCs w:val="32"/>
          <w:highlight w:val="none"/>
          <w:lang w:eastAsia="zh-CN"/>
        </w:rPr>
        <w:t>，</w:t>
      </w:r>
      <w:r>
        <w:rPr>
          <w:rFonts w:hint="default" w:ascii="Times New Roman" w:hAnsi="Times New Roman" w:eastAsia="方正仿宋_GBK" w:cs="Times New Roman"/>
          <w:color w:val="auto"/>
          <w:spacing w:val="5"/>
          <w:sz w:val="32"/>
          <w:szCs w:val="32"/>
          <w:highlight w:val="none"/>
        </w:rPr>
        <w:t>实际参与绩效自评项目</w:t>
      </w:r>
      <w:r>
        <w:rPr>
          <w:rFonts w:hint="eastAsia" w:ascii="Times New Roman" w:hAnsi="Times New Roman" w:eastAsia="方正仿宋_GBK" w:cs="Times New Roman"/>
          <w:color w:val="auto"/>
          <w:spacing w:val="5"/>
          <w:sz w:val="32"/>
          <w:szCs w:val="32"/>
          <w:highlight w:val="none"/>
          <w:lang w:val="en-US" w:eastAsia="zh-CN"/>
        </w:rPr>
        <w:t>4</w:t>
      </w:r>
      <w:r>
        <w:rPr>
          <w:rFonts w:hint="default" w:ascii="Times New Roman" w:hAnsi="Times New Roman" w:eastAsia="方正仿宋_GBK" w:cs="Times New Roman"/>
          <w:color w:val="auto"/>
          <w:spacing w:val="5"/>
          <w:sz w:val="32"/>
          <w:szCs w:val="32"/>
          <w:highlight w:val="none"/>
        </w:rPr>
        <w:t>个</w:t>
      </w:r>
      <w:r>
        <w:rPr>
          <w:rFonts w:hint="eastAsia" w:ascii="Times New Roman" w:hAnsi="Times New Roman" w:eastAsia="方正仿宋_GBK" w:cs="Times New Roman"/>
          <w:color w:val="auto"/>
          <w:spacing w:val="5"/>
          <w:sz w:val="32"/>
          <w:szCs w:val="32"/>
          <w:highlight w:val="none"/>
          <w:lang w:val="en-US" w:eastAsia="zh-CN"/>
        </w:rPr>
        <w:t>。</w:t>
      </w:r>
    </w:p>
    <w:p>
      <w:pPr>
        <w:keepNext w:val="0"/>
        <w:keepLines w:val="0"/>
        <w:pageBreakBefore w:val="0"/>
        <w:widowControl/>
        <w:kinsoku/>
        <w:wordWrap/>
        <w:overflowPunct w:val="0"/>
        <w:topLinePunct w:val="0"/>
        <w:bidi w:val="0"/>
        <w:spacing w:line="540" w:lineRule="exact"/>
        <w:ind w:firstLine="640" w:firstLineChars="200"/>
        <w:jc w:val="both"/>
        <w:outlineLvl w:val="9"/>
        <w:rPr>
          <w:rFonts w:ascii="Times New Roman" w:hAnsi="Times New Roman" w:eastAsia="方正楷体_GBK"/>
          <w:b w:val="0"/>
          <w:bCs/>
          <w:kern w:val="0"/>
          <w:sz w:val="32"/>
          <w:szCs w:val="32"/>
          <w:highlight w:val="none"/>
        </w:rPr>
      </w:pPr>
      <w:bookmarkStart w:id="39" w:name="_Toc1131023706"/>
      <w:r>
        <w:rPr>
          <w:rFonts w:ascii="Times New Roman" w:hAnsi="Times New Roman" w:eastAsia="方正楷体_GBK"/>
          <w:b w:val="0"/>
          <w:bCs/>
          <w:kern w:val="0"/>
          <w:sz w:val="32"/>
          <w:szCs w:val="32"/>
          <w:highlight w:val="none"/>
        </w:rPr>
        <w:t>（二）项目绩效自评结果</w:t>
      </w:r>
      <w:bookmarkEnd w:id="39"/>
    </w:p>
    <w:p>
      <w:pPr>
        <w:keepNext w:val="0"/>
        <w:keepLines w:val="0"/>
        <w:pageBreakBefore w:val="0"/>
        <w:widowControl/>
        <w:kinsoku/>
        <w:wordWrap/>
        <w:overflowPunct w:val="0"/>
        <w:topLinePunct w:val="0"/>
        <w:bidi w:val="0"/>
        <w:spacing w:line="540" w:lineRule="exact"/>
        <w:ind w:firstLine="600"/>
        <w:jc w:val="both"/>
        <w:outlineLvl w:val="9"/>
        <w:rPr>
          <w:rFonts w:hint="eastAsia" w:ascii="方正仿宋_GBK" w:hAnsi="方正仿宋_GBK" w:eastAsia="方正仿宋_GBK" w:cs="方正仿宋_GBK"/>
          <w:b w:val="0"/>
          <w:bCs w:val="0"/>
          <w:color w:val="auto"/>
          <w:sz w:val="32"/>
          <w:szCs w:val="32"/>
          <w:highlight w:val="none"/>
        </w:rPr>
      </w:pPr>
      <w:bookmarkStart w:id="40" w:name="_Toc1149811957"/>
      <w:r>
        <w:rPr>
          <w:rFonts w:hint="default" w:ascii="Times New Roman" w:hAnsi="Times New Roman" w:eastAsia="方正仿宋_GBK" w:cs="Times New Roman"/>
          <w:snapToGrid w:val="0"/>
          <w:color w:val="auto"/>
          <w:spacing w:val="8"/>
          <w:kern w:val="0"/>
          <w:sz w:val="32"/>
          <w:szCs w:val="32"/>
          <w:lang w:val="en-US" w:eastAsia="zh-CN" w:bidi="ar-SA"/>
        </w:rPr>
        <w:t>1.</w:t>
      </w:r>
      <w:r>
        <w:rPr>
          <w:rFonts w:ascii="Times New Roman" w:hAnsi="Times New Roman" w:eastAsia="方正仿宋_GBK"/>
          <w:b w:val="0"/>
          <w:bCs w:val="0"/>
          <w:color w:val="auto"/>
          <w:sz w:val="32"/>
          <w:szCs w:val="32"/>
          <w:highlight w:val="none"/>
        </w:rPr>
        <w:t>服装</w:t>
      </w:r>
      <w:r>
        <w:rPr>
          <w:rFonts w:hint="eastAsia" w:ascii="方正仿宋_GBK" w:hAnsi="方正仿宋_GBK" w:eastAsia="方正仿宋_GBK" w:cs="方正仿宋_GBK"/>
          <w:b w:val="0"/>
          <w:bCs w:val="0"/>
          <w:color w:val="auto"/>
          <w:sz w:val="32"/>
          <w:szCs w:val="32"/>
          <w:highlight w:val="none"/>
        </w:rPr>
        <w:t>护具及伙食补助项目</w:t>
      </w:r>
      <w:bookmarkEnd w:id="40"/>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绩效自评综述：</w:t>
      </w:r>
      <w:r>
        <w:rPr>
          <w:rFonts w:hint="eastAsia" w:ascii="方正仿宋_GBK" w:hAnsi="方正仿宋_GBK" w:eastAsia="方正仿宋_GBK" w:cs="方正仿宋_GBK"/>
          <w:b w:val="0"/>
          <w:bCs w:val="0"/>
          <w:sz w:val="32"/>
          <w:szCs w:val="32"/>
        </w:rPr>
        <w:t>该类项目为按照现行伙食费保障标准和政策要求申报的伙食费专项资金。</w:t>
      </w:r>
      <w:r>
        <w:rPr>
          <w:rFonts w:hint="eastAsia" w:ascii="方正仿宋_GBK" w:hAnsi="方正仿宋_GBK" w:eastAsia="方正仿宋_GBK" w:cs="方正仿宋_GBK"/>
          <w:b w:val="0"/>
          <w:bCs w:val="0"/>
          <w:color w:val="auto"/>
          <w:sz w:val="32"/>
          <w:szCs w:val="32"/>
          <w:highlight w:val="none"/>
          <w:lang w:val="en-US" w:eastAsia="zh-CN"/>
        </w:rPr>
        <w:t>根据年初设定的绩效目标，项目自评得</w:t>
      </w:r>
      <w:r>
        <w:rPr>
          <w:rFonts w:hint="eastAsia" w:ascii="方正仿宋_GBK" w:hAnsi="方正仿宋_GBK" w:eastAsia="方正仿宋_GBK" w:cs="方正仿宋_GBK"/>
          <w:b w:val="0"/>
          <w:bCs w:val="0"/>
          <w:color w:val="auto"/>
          <w:sz w:val="32"/>
          <w:szCs w:val="32"/>
          <w:highlight w:val="none"/>
        </w:rPr>
        <w:t>分</w:t>
      </w:r>
      <w:r>
        <w:rPr>
          <w:rFonts w:hint="eastAsia" w:ascii="方正仿宋_GBK" w:hAnsi="方正仿宋_GBK" w:eastAsia="方正仿宋_GBK" w:cs="方正仿宋_GBK"/>
          <w:b w:val="0"/>
          <w:bCs w:val="0"/>
          <w:color w:val="auto"/>
          <w:sz w:val="32"/>
          <w:szCs w:val="32"/>
          <w:highlight w:val="none"/>
          <w:lang w:eastAsia="zh-CN"/>
        </w:rPr>
        <w:t>为</w:t>
      </w:r>
      <w:r>
        <w:rPr>
          <w:rFonts w:hint="eastAsia" w:ascii="Times New Roman" w:hAnsi="Times New Roman" w:eastAsia="方正仿宋_GBK" w:cs="Times New Roman"/>
          <w:color w:val="auto"/>
          <w:spacing w:val="5"/>
          <w:sz w:val="32"/>
          <w:szCs w:val="32"/>
          <w:highlight w:val="none"/>
          <w:lang w:val="en-US" w:eastAsia="zh-CN"/>
        </w:rPr>
        <w:t>100</w:t>
      </w:r>
      <w:r>
        <w:rPr>
          <w:rFonts w:hint="eastAsia" w:ascii="方正仿宋_GBK" w:hAnsi="方正仿宋_GBK" w:eastAsia="方正仿宋_GBK" w:cs="方正仿宋_GBK"/>
          <w:b w:val="0"/>
          <w:bCs w:val="0"/>
          <w:color w:val="auto"/>
          <w:sz w:val="32"/>
          <w:szCs w:val="32"/>
          <w:highlight w:val="none"/>
          <w:lang w:val="en-US" w:eastAsia="zh-CN"/>
        </w:rPr>
        <w:t>分</w:t>
      </w:r>
      <w:r>
        <w:rPr>
          <w:rFonts w:hint="eastAsia" w:ascii="方正仿宋_GBK" w:hAnsi="方正仿宋_GBK" w:eastAsia="方正仿宋_GBK" w:cs="方正仿宋_GBK"/>
          <w:b w:val="0"/>
          <w:bCs w:val="0"/>
          <w:color w:val="auto"/>
          <w:sz w:val="32"/>
          <w:szCs w:val="32"/>
          <w:highlight w:val="none"/>
          <w:lang w:eastAsia="zh-CN"/>
        </w:rPr>
        <w:t>。</w:t>
      </w:r>
      <w:r>
        <w:rPr>
          <w:rFonts w:hint="eastAsia" w:ascii="Times New Roman" w:hAnsi="Times New Roman" w:eastAsia="方正仿宋_GBK" w:cs="Times New Roman"/>
          <w:color w:val="auto"/>
          <w:spacing w:val="5"/>
          <w:sz w:val="32"/>
          <w:szCs w:val="32"/>
          <w:highlight w:val="none"/>
          <w:lang w:val="en-US" w:eastAsia="zh-CN"/>
        </w:rPr>
        <w:t>2025</w:t>
      </w:r>
      <w:r>
        <w:rPr>
          <w:rFonts w:hint="eastAsia" w:ascii="方正仿宋_GBK" w:hAnsi="方正仿宋_GBK" w:eastAsia="方正仿宋_GBK" w:cs="方正仿宋_GBK"/>
          <w:b w:val="0"/>
          <w:bCs w:val="0"/>
          <w:color w:val="auto"/>
          <w:sz w:val="32"/>
          <w:szCs w:val="32"/>
          <w:highlight w:val="none"/>
        </w:rPr>
        <w:t>年</w:t>
      </w:r>
      <w:r>
        <w:rPr>
          <w:rFonts w:hint="eastAsia" w:ascii="方正仿宋_GBK" w:hAnsi="方正仿宋_GBK" w:eastAsia="方正仿宋_GBK" w:cs="方正仿宋_GBK"/>
          <w:b w:val="0"/>
          <w:bCs w:val="0"/>
          <w:color w:val="auto"/>
          <w:sz w:val="32"/>
          <w:szCs w:val="32"/>
          <w:highlight w:val="none"/>
          <w:lang w:eastAsia="zh-CN"/>
        </w:rPr>
        <w:t>度</w:t>
      </w:r>
      <w:r>
        <w:rPr>
          <w:rFonts w:hint="eastAsia" w:ascii="方正仿宋_GBK" w:hAnsi="方正仿宋_GBK" w:eastAsia="方正仿宋_GBK" w:cs="方正仿宋_GBK"/>
          <w:b w:val="0"/>
          <w:bCs w:val="0"/>
          <w:color w:val="auto"/>
          <w:sz w:val="32"/>
          <w:szCs w:val="32"/>
          <w:highlight w:val="none"/>
        </w:rPr>
        <w:t>，我</w:t>
      </w:r>
      <w:r>
        <w:rPr>
          <w:rFonts w:hint="eastAsia" w:ascii="方正仿宋_GBK" w:hAnsi="方正仿宋_GBK" w:eastAsia="方正仿宋_GBK" w:cs="方正仿宋_GBK"/>
          <w:b w:val="0"/>
          <w:bCs w:val="0"/>
          <w:color w:val="auto"/>
          <w:sz w:val="32"/>
          <w:szCs w:val="32"/>
          <w:highlight w:val="none"/>
          <w:lang w:eastAsia="zh-CN"/>
        </w:rPr>
        <w:t>大</w:t>
      </w:r>
      <w:r>
        <w:rPr>
          <w:rFonts w:hint="eastAsia" w:ascii="方正仿宋_GBK" w:hAnsi="方正仿宋_GBK" w:eastAsia="方正仿宋_GBK" w:cs="方正仿宋_GBK"/>
          <w:b w:val="0"/>
          <w:bCs w:val="0"/>
          <w:color w:val="auto"/>
          <w:sz w:val="32"/>
          <w:szCs w:val="32"/>
          <w:highlight w:val="none"/>
        </w:rPr>
        <w:t>队共编报该类项目</w:t>
      </w:r>
      <w:r>
        <w:rPr>
          <w:rFonts w:hint="eastAsia" w:ascii="Times New Roman" w:hAnsi="Times New Roman" w:eastAsia="方正仿宋_GBK" w:cs="Times New Roman"/>
          <w:color w:val="auto"/>
          <w:spacing w:val="5"/>
          <w:sz w:val="32"/>
          <w:szCs w:val="32"/>
          <w:highlight w:val="none"/>
          <w:lang w:val="en-US" w:eastAsia="zh-CN"/>
        </w:rPr>
        <w:t>1</w:t>
      </w:r>
      <w:r>
        <w:rPr>
          <w:rFonts w:hint="eastAsia" w:ascii="方正仿宋_GBK" w:hAnsi="方正仿宋_GBK" w:eastAsia="方正仿宋_GBK" w:cs="方正仿宋_GBK"/>
          <w:b w:val="0"/>
          <w:bCs w:val="0"/>
          <w:color w:val="auto"/>
          <w:sz w:val="32"/>
          <w:szCs w:val="32"/>
          <w:highlight w:val="none"/>
        </w:rPr>
        <w:t>个，全年预算</w:t>
      </w:r>
      <w:r>
        <w:rPr>
          <w:rFonts w:hint="eastAsia" w:ascii="Times New Roman" w:hAnsi="Times New Roman" w:eastAsia="方正仿宋_GBK" w:cs="Times New Roman"/>
          <w:color w:val="auto"/>
          <w:spacing w:val="5"/>
          <w:sz w:val="32"/>
          <w:szCs w:val="32"/>
          <w:highlight w:val="none"/>
          <w:lang w:val="en-US" w:eastAsia="zh-CN"/>
        </w:rPr>
        <w:t>32.74</w:t>
      </w:r>
      <w:r>
        <w:rPr>
          <w:rFonts w:hint="eastAsia" w:ascii="方正仿宋_GBK" w:hAnsi="方正仿宋_GBK" w:eastAsia="方正仿宋_GBK" w:cs="方正仿宋_GBK"/>
          <w:b w:val="0"/>
          <w:bCs w:val="0"/>
          <w:color w:val="auto"/>
          <w:sz w:val="32"/>
          <w:szCs w:val="32"/>
          <w:highlight w:val="none"/>
        </w:rPr>
        <w:t>万元，全年实际支出</w:t>
      </w:r>
      <w:r>
        <w:rPr>
          <w:rFonts w:hint="eastAsia" w:ascii="Times New Roman" w:hAnsi="Times New Roman" w:eastAsia="方正仿宋_GBK" w:cs="Times New Roman"/>
          <w:color w:val="auto"/>
          <w:spacing w:val="5"/>
          <w:sz w:val="32"/>
          <w:szCs w:val="32"/>
          <w:highlight w:val="none"/>
          <w:lang w:val="en-US" w:eastAsia="zh-CN"/>
        </w:rPr>
        <w:t>32.74</w:t>
      </w:r>
      <w:r>
        <w:rPr>
          <w:rFonts w:hint="eastAsia" w:ascii="方正仿宋_GBK" w:hAnsi="方正仿宋_GBK" w:eastAsia="方正仿宋_GBK" w:cs="方正仿宋_GBK"/>
          <w:b w:val="0"/>
          <w:bCs w:val="0"/>
          <w:color w:val="auto"/>
          <w:sz w:val="32"/>
          <w:szCs w:val="32"/>
          <w:highlight w:val="none"/>
        </w:rPr>
        <w:t>万元，预算执行率</w:t>
      </w:r>
      <w:r>
        <w:rPr>
          <w:rFonts w:hint="eastAsia" w:ascii="Times New Roman" w:hAnsi="Times New Roman" w:eastAsia="方正仿宋_GBK" w:cs="Times New Roman"/>
          <w:color w:val="auto"/>
          <w:spacing w:val="5"/>
          <w:sz w:val="32"/>
          <w:szCs w:val="32"/>
          <w:highlight w:val="none"/>
          <w:lang w:val="en-US" w:eastAsia="zh-CN"/>
        </w:rPr>
        <w:t>100%</w:t>
      </w:r>
      <w:r>
        <w:rPr>
          <w:rFonts w:hint="eastAsia" w:ascii="方正仿宋_GBK" w:hAnsi="方正仿宋_GBK" w:eastAsia="方正仿宋_GBK" w:cs="方正仿宋_GBK"/>
          <w:b w:val="0"/>
          <w:bCs w:val="0"/>
          <w:color w:val="auto"/>
          <w:sz w:val="32"/>
          <w:szCs w:val="32"/>
          <w:highlight w:val="none"/>
        </w:rPr>
        <w:t>。</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rPr>
        <w:t>项目绩效目标完成情况：</w:t>
      </w:r>
      <w:r>
        <w:rPr>
          <w:rFonts w:hint="eastAsia" w:ascii="方正仿宋_GBK" w:hAnsi="方正仿宋_GBK" w:eastAsia="方正仿宋_GBK" w:cs="方正仿宋_GBK"/>
          <w:b w:val="0"/>
          <w:bCs w:val="0"/>
          <w:color w:val="auto"/>
          <w:sz w:val="32"/>
          <w:szCs w:val="32"/>
          <w:highlight w:val="none"/>
          <w:lang w:val="en-US" w:eastAsia="zh-CN"/>
        </w:rPr>
        <w:t>依据人员实力和伙食费补助标准，保障消防救援指战员营养和体能消耗需要，提升队伍战斗力。</w:t>
      </w:r>
    </w:p>
    <w:p>
      <w:pPr>
        <w:keepNext w:val="0"/>
        <w:keepLines w:val="0"/>
        <w:pageBreakBefore w:val="0"/>
        <w:widowControl/>
        <w:kinsoku/>
        <w:wordWrap/>
        <w:overflowPunct w:val="0"/>
        <w:topLinePunct w:val="0"/>
        <w:bidi w:val="0"/>
        <w:spacing w:line="540" w:lineRule="exact"/>
        <w:ind w:firstLine="600"/>
        <w:jc w:val="both"/>
        <w:outlineLvl w:val="9"/>
        <w:rPr>
          <w:rFonts w:hint="eastAsia" w:ascii="Times New Roman" w:hAnsi="Times New Roman" w:eastAsia="方正仿宋_GBK" w:cs="Times New Roman"/>
          <w:snapToGrid w:val="0"/>
          <w:color w:val="auto"/>
          <w:spacing w:val="8"/>
          <w:kern w:val="0"/>
          <w:sz w:val="32"/>
          <w:szCs w:val="32"/>
          <w:lang w:val="en-US" w:eastAsia="zh-CN" w:bidi="ar-SA"/>
        </w:rPr>
      </w:pPr>
      <w:r>
        <w:rPr>
          <w:rFonts w:hint="eastAsia" w:ascii="Times New Roman" w:hAnsi="Times New Roman" w:eastAsia="方正仿宋_GBK" w:cs="Times New Roman"/>
          <w:snapToGrid w:val="0"/>
          <w:color w:val="auto"/>
          <w:spacing w:val="8"/>
          <w:kern w:val="0"/>
          <w:sz w:val="32"/>
          <w:szCs w:val="32"/>
          <w:lang w:val="en-US" w:eastAsia="zh-CN" w:bidi="ar-SA"/>
        </w:rPr>
        <w:t>2</w:t>
      </w:r>
      <w:r>
        <w:rPr>
          <w:rFonts w:hint="default" w:ascii="Times New Roman" w:hAnsi="Times New Roman" w:eastAsia="方正仿宋_GBK" w:cs="Times New Roman"/>
          <w:snapToGrid w:val="0"/>
          <w:color w:val="auto"/>
          <w:spacing w:val="8"/>
          <w:kern w:val="0"/>
          <w:sz w:val="32"/>
          <w:szCs w:val="32"/>
          <w:lang w:val="en-US" w:eastAsia="zh-CN" w:bidi="ar-SA"/>
        </w:rPr>
        <w:t>.</w:t>
      </w:r>
      <w:r>
        <w:rPr>
          <w:rFonts w:hint="eastAsia" w:ascii="Times New Roman" w:hAnsi="Times New Roman" w:eastAsia="方正仿宋_GBK" w:cs="Times New Roman"/>
          <w:snapToGrid w:val="0"/>
          <w:color w:val="auto"/>
          <w:spacing w:val="8"/>
          <w:kern w:val="0"/>
          <w:sz w:val="32"/>
          <w:szCs w:val="32"/>
          <w:lang w:val="en-US" w:eastAsia="zh-CN" w:bidi="ar-SA"/>
        </w:rPr>
        <w:t>政府专职消防员经费项目</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绩效自评综述：</w:t>
      </w:r>
      <w:r>
        <w:rPr>
          <w:rFonts w:hint="eastAsia" w:ascii="方正仿宋_GBK" w:hAnsi="方正仿宋_GBK" w:eastAsia="方正仿宋_GBK" w:cs="方正仿宋_GBK"/>
          <w:b w:val="0"/>
          <w:bCs w:val="0"/>
          <w:sz w:val="32"/>
          <w:szCs w:val="32"/>
        </w:rPr>
        <w:t>该类项目为</w:t>
      </w:r>
      <w:r>
        <w:rPr>
          <w:rFonts w:hint="eastAsia" w:ascii="方正仿宋_GBK" w:hAnsi="方正仿宋_GBK" w:eastAsia="方正仿宋_GBK" w:cs="方正仿宋_GBK"/>
          <w:b w:val="0"/>
          <w:bCs w:val="0"/>
          <w:sz w:val="32"/>
          <w:szCs w:val="32"/>
          <w:lang w:eastAsia="zh-CN"/>
        </w:rPr>
        <w:t>政府专职消防员经费，</w:t>
      </w:r>
      <w:r>
        <w:rPr>
          <w:rFonts w:hint="eastAsia" w:ascii="方正仿宋_GBK" w:hAnsi="方正仿宋_GBK" w:eastAsia="方正仿宋_GBK" w:cs="方正仿宋_GBK"/>
          <w:b w:val="0"/>
          <w:bCs w:val="0"/>
          <w:color w:val="auto"/>
          <w:sz w:val="32"/>
          <w:szCs w:val="32"/>
          <w:highlight w:val="none"/>
          <w:lang w:val="en-US" w:eastAsia="zh-CN"/>
        </w:rPr>
        <w:t>根据年初设定的绩效目标，项目自评得</w:t>
      </w:r>
      <w:r>
        <w:rPr>
          <w:rFonts w:hint="eastAsia" w:ascii="方正仿宋_GBK" w:hAnsi="方正仿宋_GBK" w:eastAsia="方正仿宋_GBK" w:cs="方正仿宋_GBK"/>
          <w:b w:val="0"/>
          <w:bCs w:val="0"/>
          <w:color w:val="auto"/>
          <w:sz w:val="32"/>
          <w:szCs w:val="32"/>
          <w:highlight w:val="none"/>
        </w:rPr>
        <w:t>分</w:t>
      </w:r>
      <w:r>
        <w:rPr>
          <w:rFonts w:hint="eastAsia" w:ascii="方正仿宋_GBK" w:hAnsi="方正仿宋_GBK" w:eastAsia="方正仿宋_GBK" w:cs="方正仿宋_GBK"/>
          <w:b w:val="0"/>
          <w:bCs w:val="0"/>
          <w:color w:val="auto"/>
          <w:sz w:val="32"/>
          <w:szCs w:val="32"/>
          <w:highlight w:val="none"/>
          <w:lang w:eastAsia="zh-CN"/>
        </w:rPr>
        <w:t>为</w:t>
      </w:r>
      <w:r>
        <w:rPr>
          <w:rFonts w:hint="eastAsia" w:ascii="Times New Roman" w:hAnsi="Times New Roman" w:eastAsia="方正仿宋_GBK" w:cs="Times New Roman"/>
          <w:color w:val="auto"/>
          <w:spacing w:val="5"/>
          <w:sz w:val="32"/>
          <w:szCs w:val="32"/>
          <w:highlight w:val="none"/>
          <w:lang w:val="en-US" w:eastAsia="zh-CN"/>
        </w:rPr>
        <w:t>97.9</w:t>
      </w:r>
      <w:r>
        <w:rPr>
          <w:rFonts w:hint="eastAsia" w:ascii="方正仿宋_GBK" w:hAnsi="方正仿宋_GBK" w:eastAsia="方正仿宋_GBK" w:cs="方正仿宋_GBK"/>
          <w:b w:val="0"/>
          <w:bCs w:val="0"/>
          <w:color w:val="auto"/>
          <w:sz w:val="32"/>
          <w:szCs w:val="32"/>
          <w:highlight w:val="none"/>
          <w:lang w:val="en-US" w:eastAsia="zh-CN"/>
        </w:rPr>
        <w:t>分</w:t>
      </w:r>
      <w:r>
        <w:rPr>
          <w:rFonts w:hint="eastAsia" w:ascii="方正仿宋_GBK" w:hAnsi="方正仿宋_GBK" w:eastAsia="方正仿宋_GBK" w:cs="方正仿宋_GBK"/>
          <w:b w:val="0"/>
          <w:bCs w:val="0"/>
          <w:color w:val="auto"/>
          <w:sz w:val="32"/>
          <w:szCs w:val="32"/>
          <w:highlight w:val="none"/>
          <w:lang w:eastAsia="zh-CN"/>
        </w:rPr>
        <w:t>。项目</w:t>
      </w:r>
      <w:r>
        <w:rPr>
          <w:rFonts w:hint="eastAsia" w:ascii="方正仿宋_GBK" w:hAnsi="方正仿宋_GBK" w:eastAsia="方正仿宋_GBK" w:cs="方正仿宋_GBK"/>
          <w:b w:val="0"/>
          <w:bCs w:val="0"/>
          <w:color w:val="auto"/>
          <w:sz w:val="32"/>
          <w:szCs w:val="32"/>
          <w:highlight w:val="none"/>
        </w:rPr>
        <w:t>全年预算</w:t>
      </w:r>
      <w:r>
        <w:rPr>
          <w:rFonts w:hint="eastAsia" w:ascii="Times New Roman" w:hAnsi="Times New Roman" w:eastAsia="方正仿宋_GBK" w:cs="Times New Roman"/>
          <w:color w:val="auto"/>
          <w:spacing w:val="5"/>
          <w:sz w:val="32"/>
          <w:szCs w:val="32"/>
          <w:highlight w:val="none"/>
          <w:lang w:val="en-US" w:eastAsia="zh-CN"/>
        </w:rPr>
        <w:t>419.16</w:t>
      </w:r>
      <w:r>
        <w:rPr>
          <w:rFonts w:hint="eastAsia" w:ascii="方正仿宋_GBK" w:hAnsi="方正仿宋_GBK" w:eastAsia="方正仿宋_GBK" w:cs="方正仿宋_GBK"/>
          <w:b w:val="0"/>
          <w:bCs w:val="0"/>
          <w:color w:val="auto"/>
          <w:sz w:val="32"/>
          <w:szCs w:val="32"/>
          <w:highlight w:val="none"/>
        </w:rPr>
        <w:t>万元，全年实际支出</w:t>
      </w:r>
      <w:r>
        <w:rPr>
          <w:rFonts w:hint="eastAsia" w:ascii="Times New Roman" w:hAnsi="Times New Roman" w:eastAsia="方正仿宋_GBK" w:cs="Times New Roman"/>
          <w:color w:val="auto"/>
          <w:spacing w:val="5"/>
          <w:sz w:val="32"/>
          <w:szCs w:val="32"/>
          <w:highlight w:val="none"/>
          <w:lang w:val="en-US" w:eastAsia="zh-CN"/>
        </w:rPr>
        <w:t>406.77</w:t>
      </w:r>
      <w:r>
        <w:rPr>
          <w:rFonts w:hint="eastAsia" w:ascii="方正仿宋_GBK" w:hAnsi="方正仿宋_GBK" w:eastAsia="方正仿宋_GBK" w:cs="方正仿宋_GBK"/>
          <w:b w:val="0"/>
          <w:bCs w:val="0"/>
          <w:color w:val="auto"/>
          <w:sz w:val="32"/>
          <w:szCs w:val="32"/>
          <w:highlight w:val="none"/>
        </w:rPr>
        <w:t>万元，预算执行率</w:t>
      </w:r>
      <w:r>
        <w:rPr>
          <w:rFonts w:hint="eastAsia" w:ascii="Times New Roman" w:hAnsi="Times New Roman" w:eastAsia="方正仿宋_GBK" w:cs="Times New Roman"/>
          <w:color w:val="auto"/>
          <w:spacing w:val="5"/>
          <w:sz w:val="32"/>
          <w:szCs w:val="32"/>
          <w:highlight w:val="none"/>
          <w:lang w:val="en-US" w:eastAsia="zh-CN"/>
        </w:rPr>
        <w:t>97.04%。</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rPr>
        <w:t>项目绩效目标完成情况：</w:t>
      </w:r>
      <w:r>
        <w:rPr>
          <w:rFonts w:hint="eastAsia" w:ascii="方正仿宋_GBK" w:hAnsi="方正仿宋_GBK" w:eastAsia="方正仿宋_GBK" w:cs="方正仿宋_GBK"/>
          <w:b w:val="0"/>
          <w:bCs w:val="0"/>
          <w:color w:val="auto"/>
          <w:sz w:val="32"/>
          <w:szCs w:val="32"/>
          <w:highlight w:val="none"/>
          <w:lang w:val="en-US" w:eastAsia="zh-CN"/>
        </w:rPr>
        <w:t>本年度围绕保障政府专职消防救援队伍稳定运行的绩效目标有序实施，人员工资福利、被装采购、雇主责任及团体意外险等各项经费按规定及时拨付到位，队伍保障有力、运转正常，资金使用规范，绩效目标完成。</w:t>
      </w:r>
    </w:p>
    <w:p>
      <w:pPr>
        <w:keepNext w:val="0"/>
        <w:keepLines w:val="0"/>
        <w:pageBreakBefore w:val="0"/>
        <w:widowControl/>
        <w:kinsoku/>
        <w:wordWrap/>
        <w:overflowPunct w:val="0"/>
        <w:topLinePunct w:val="0"/>
        <w:bidi w:val="0"/>
        <w:spacing w:line="540" w:lineRule="exact"/>
        <w:ind w:firstLine="600"/>
        <w:jc w:val="both"/>
        <w:outlineLvl w:val="9"/>
        <w:rPr>
          <w:rFonts w:hint="eastAsia" w:ascii="方正仿宋_GBK" w:hAnsi="方正仿宋_GBK" w:eastAsia="方正仿宋_GBK" w:cs="方正仿宋_GBK"/>
          <w:b w:val="0"/>
          <w:bCs w:val="0"/>
          <w:color w:val="auto"/>
          <w:sz w:val="32"/>
          <w:szCs w:val="32"/>
          <w:highlight w:val="none"/>
        </w:rPr>
      </w:pPr>
      <w:r>
        <w:rPr>
          <w:rFonts w:hint="eastAsia" w:ascii="Times New Roman" w:hAnsi="Times New Roman" w:eastAsia="方正仿宋_GBK" w:cs="Times New Roman"/>
          <w:snapToGrid w:val="0"/>
          <w:color w:val="auto"/>
          <w:spacing w:val="8"/>
          <w:kern w:val="0"/>
          <w:sz w:val="32"/>
          <w:szCs w:val="32"/>
          <w:lang w:val="en-US" w:eastAsia="zh-CN" w:bidi="ar-SA"/>
        </w:rPr>
        <w:t>3</w:t>
      </w:r>
      <w:r>
        <w:rPr>
          <w:rFonts w:hint="default" w:ascii="Times New Roman" w:hAnsi="Times New Roman" w:eastAsia="方正仿宋_GBK" w:cs="Times New Roman"/>
          <w:snapToGrid w:val="0"/>
          <w:color w:val="auto"/>
          <w:spacing w:val="8"/>
          <w:kern w:val="0"/>
          <w:sz w:val="32"/>
          <w:szCs w:val="32"/>
          <w:lang w:val="en-US" w:eastAsia="zh-CN" w:bidi="ar-SA"/>
        </w:rPr>
        <w:t>.</w:t>
      </w:r>
      <w:r>
        <w:rPr>
          <w:rFonts w:hint="eastAsia" w:ascii="方正仿宋_GBK" w:hAnsi="方正仿宋_GBK" w:eastAsia="方正仿宋_GBK" w:cs="方正仿宋_GBK"/>
          <w:b w:val="0"/>
          <w:bCs w:val="0"/>
          <w:color w:val="auto"/>
          <w:sz w:val="32"/>
          <w:szCs w:val="32"/>
          <w:highlight w:val="none"/>
        </w:rPr>
        <w:t>地方财政安排装备购置项目</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绩效自评综述：该类项目为</w:t>
      </w:r>
      <w:r>
        <w:rPr>
          <w:rFonts w:hint="eastAsia" w:ascii="方正仿宋_GBK" w:hAnsi="方正仿宋_GBK" w:eastAsia="方正仿宋_GBK" w:cs="方正仿宋_GBK"/>
          <w:b w:val="0"/>
          <w:bCs w:val="0"/>
          <w:color w:val="auto"/>
          <w:sz w:val="32"/>
          <w:szCs w:val="32"/>
          <w:highlight w:val="none"/>
          <w:lang w:eastAsia="zh-CN"/>
        </w:rPr>
        <w:t>消防装备采购项目，</w:t>
      </w:r>
      <w:r>
        <w:rPr>
          <w:rFonts w:hint="eastAsia" w:ascii="方正仿宋_GBK" w:hAnsi="方正仿宋_GBK" w:eastAsia="方正仿宋_GBK" w:cs="方正仿宋_GBK"/>
          <w:b w:val="0"/>
          <w:bCs w:val="0"/>
          <w:color w:val="auto"/>
          <w:sz w:val="32"/>
          <w:szCs w:val="32"/>
          <w:highlight w:val="none"/>
          <w:lang w:val="en-US" w:eastAsia="zh-CN"/>
        </w:rPr>
        <w:t>根据年初设定的绩效目标，项目自评得分为</w:t>
      </w:r>
      <w:r>
        <w:rPr>
          <w:rFonts w:hint="eastAsia" w:ascii="Times New Roman" w:hAnsi="Times New Roman" w:eastAsia="方正仿宋_GBK" w:cs="Times New Roman"/>
          <w:color w:val="auto"/>
          <w:spacing w:val="5"/>
          <w:sz w:val="32"/>
          <w:szCs w:val="32"/>
          <w:highlight w:val="none"/>
          <w:lang w:val="en-US" w:eastAsia="zh-CN"/>
        </w:rPr>
        <w:t>75</w:t>
      </w:r>
      <w:r>
        <w:rPr>
          <w:rFonts w:hint="eastAsia" w:ascii="方正仿宋_GBK" w:hAnsi="方正仿宋_GBK" w:eastAsia="方正仿宋_GBK" w:cs="方正仿宋_GBK"/>
          <w:b w:val="0"/>
          <w:bCs w:val="0"/>
          <w:color w:val="auto"/>
          <w:sz w:val="32"/>
          <w:szCs w:val="32"/>
          <w:highlight w:val="none"/>
          <w:lang w:val="en-US" w:eastAsia="zh-CN"/>
        </w:rPr>
        <w:t>分</w:t>
      </w:r>
      <w:r>
        <w:rPr>
          <w:rFonts w:hint="eastAsia" w:ascii="方正仿宋_GBK" w:hAnsi="方正仿宋_GBK" w:eastAsia="方正仿宋_GBK" w:cs="方正仿宋_GBK"/>
          <w:b w:val="0"/>
          <w:bCs w:val="0"/>
          <w:color w:val="auto"/>
          <w:sz w:val="32"/>
          <w:szCs w:val="32"/>
          <w:highlight w:val="none"/>
          <w:lang w:eastAsia="zh-CN"/>
        </w:rPr>
        <w:t>。项目</w:t>
      </w:r>
      <w:r>
        <w:rPr>
          <w:rFonts w:hint="eastAsia" w:ascii="方正仿宋_GBK" w:hAnsi="方正仿宋_GBK" w:eastAsia="方正仿宋_GBK" w:cs="方正仿宋_GBK"/>
          <w:b w:val="0"/>
          <w:bCs w:val="0"/>
          <w:color w:val="auto"/>
          <w:sz w:val="32"/>
          <w:szCs w:val="32"/>
          <w:highlight w:val="none"/>
        </w:rPr>
        <w:t>全年预算</w:t>
      </w:r>
      <w:r>
        <w:rPr>
          <w:rFonts w:hint="eastAsia" w:ascii="Times New Roman" w:hAnsi="Times New Roman" w:eastAsia="方正仿宋_GBK" w:cs="Times New Roman"/>
          <w:color w:val="auto"/>
          <w:spacing w:val="5"/>
          <w:sz w:val="32"/>
          <w:szCs w:val="32"/>
          <w:highlight w:val="none"/>
          <w:lang w:val="en-US" w:eastAsia="zh-CN"/>
        </w:rPr>
        <w:t>215.2</w:t>
      </w:r>
      <w:r>
        <w:rPr>
          <w:rFonts w:hint="eastAsia" w:ascii="方正仿宋_GBK" w:hAnsi="方正仿宋_GBK" w:eastAsia="方正仿宋_GBK" w:cs="方正仿宋_GBK"/>
          <w:b w:val="0"/>
          <w:bCs w:val="0"/>
          <w:color w:val="auto"/>
          <w:sz w:val="32"/>
          <w:szCs w:val="32"/>
          <w:highlight w:val="none"/>
        </w:rPr>
        <w:t>万元，全年实际支出</w:t>
      </w:r>
      <w:r>
        <w:rPr>
          <w:rFonts w:hint="eastAsia" w:ascii="Times New Roman" w:hAnsi="Times New Roman" w:eastAsia="方正仿宋_GBK" w:cs="Times New Roman"/>
          <w:color w:val="auto"/>
          <w:spacing w:val="5"/>
          <w:sz w:val="32"/>
          <w:szCs w:val="32"/>
          <w:highlight w:val="none"/>
          <w:lang w:val="en-US" w:eastAsia="zh-CN"/>
        </w:rPr>
        <w:t>32.62</w:t>
      </w:r>
      <w:r>
        <w:rPr>
          <w:rFonts w:hint="eastAsia" w:ascii="方正仿宋_GBK" w:hAnsi="方正仿宋_GBK" w:eastAsia="方正仿宋_GBK" w:cs="方正仿宋_GBK"/>
          <w:b w:val="0"/>
          <w:bCs w:val="0"/>
          <w:color w:val="auto"/>
          <w:sz w:val="32"/>
          <w:szCs w:val="32"/>
          <w:highlight w:val="none"/>
        </w:rPr>
        <w:t>万元，预算执行率</w:t>
      </w:r>
      <w:r>
        <w:rPr>
          <w:rFonts w:hint="eastAsia" w:ascii="Times New Roman" w:hAnsi="Times New Roman" w:eastAsia="方正仿宋_GBK" w:cs="Times New Roman"/>
          <w:color w:val="auto"/>
          <w:spacing w:val="5"/>
          <w:sz w:val="32"/>
          <w:szCs w:val="32"/>
          <w:highlight w:val="none"/>
          <w:lang w:val="en-US" w:eastAsia="zh-CN"/>
        </w:rPr>
        <w:t>15.16%</w:t>
      </w:r>
      <w:r>
        <w:rPr>
          <w:rFonts w:hint="eastAsia" w:ascii="方正仿宋_GBK" w:hAnsi="方正仿宋_GBK" w:eastAsia="方正仿宋_GBK" w:cs="方正仿宋_GBK"/>
          <w:b w:val="0"/>
          <w:bCs w:val="0"/>
          <w:color w:val="auto"/>
          <w:sz w:val="32"/>
          <w:szCs w:val="32"/>
          <w:highlight w:val="none"/>
        </w:rPr>
        <w:t>。</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rPr>
        <w:t>项目绩效目标完成情况：</w:t>
      </w:r>
      <w:r>
        <w:rPr>
          <w:rFonts w:hint="eastAsia" w:ascii="方正仿宋_GBK" w:hAnsi="方正仿宋_GBK" w:eastAsia="方正仿宋_GBK" w:cs="方正仿宋_GBK"/>
          <w:b w:val="0"/>
          <w:bCs w:val="0"/>
          <w:color w:val="auto"/>
          <w:sz w:val="32"/>
          <w:szCs w:val="32"/>
          <w:highlight w:val="none"/>
          <w:lang w:eastAsia="zh-CN"/>
        </w:rPr>
        <w:t>该项目</w:t>
      </w:r>
      <w:r>
        <w:rPr>
          <w:rFonts w:hint="eastAsia" w:ascii="方正仿宋_GBK" w:hAnsi="方正仿宋_GBK" w:eastAsia="方正仿宋_GBK" w:cs="方正仿宋_GBK"/>
          <w:b w:val="0"/>
          <w:bCs w:val="0"/>
          <w:color w:val="auto"/>
          <w:sz w:val="32"/>
          <w:szCs w:val="32"/>
          <w:highlight w:val="none"/>
        </w:rPr>
        <w:t>总体实施方案基本可行</w:t>
      </w:r>
      <w:r>
        <w:rPr>
          <w:rFonts w:hint="eastAsia" w:ascii="方正仿宋_GBK" w:hAnsi="方正仿宋_GBK" w:eastAsia="方正仿宋_GBK" w:cs="方正仿宋_GBK"/>
          <w:b w:val="0"/>
          <w:bCs w:val="0"/>
          <w:color w:val="auto"/>
          <w:sz w:val="32"/>
          <w:szCs w:val="32"/>
          <w:highlight w:val="none"/>
          <w:lang w:eastAsia="zh-CN"/>
        </w:rPr>
        <w:t>，但预算执行</w:t>
      </w:r>
      <w:r>
        <w:rPr>
          <w:rFonts w:hint="eastAsia" w:ascii="方正仿宋_GBK" w:hAnsi="方正仿宋_GBK" w:eastAsia="方正仿宋_GBK" w:cs="方正仿宋_GBK"/>
          <w:b w:val="0"/>
          <w:bCs w:val="0"/>
          <w:color w:val="auto"/>
          <w:sz w:val="32"/>
          <w:szCs w:val="32"/>
          <w:highlight w:val="none"/>
          <w:lang w:val="en-US" w:eastAsia="zh-CN"/>
        </w:rPr>
        <w:t>低于总体目标水平，主要原因是</w:t>
      </w:r>
      <w:r>
        <w:rPr>
          <w:rFonts w:hint="eastAsia" w:ascii="Times New Roman" w:hAnsi="Times New Roman" w:eastAsia="方正仿宋_GBK" w:cs="Times New Roman"/>
          <w:color w:val="auto"/>
          <w:spacing w:val="5"/>
          <w:sz w:val="32"/>
          <w:szCs w:val="32"/>
          <w:highlight w:val="none"/>
          <w:lang w:val="en-US" w:eastAsia="zh-CN"/>
        </w:rPr>
        <w:t>2024</w:t>
      </w:r>
      <w:r>
        <w:rPr>
          <w:rFonts w:hint="eastAsia" w:ascii="方正仿宋_GBK" w:hAnsi="方正仿宋_GBK" w:eastAsia="方正仿宋_GBK" w:cs="方正仿宋_GBK"/>
          <w:b w:val="0"/>
          <w:bCs w:val="0"/>
          <w:color w:val="auto"/>
          <w:sz w:val="32"/>
          <w:szCs w:val="32"/>
          <w:highlight w:val="none"/>
          <w:lang w:val="en-US" w:eastAsia="zh-CN"/>
        </w:rPr>
        <w:t>年装备计划采购中，车辆装备正在进行结算审计，准备履行付款程序；</w:t>
      </w:r>
      <w:r>
        <w:rPr>
          <w:rFonts w:hint="eastAsia" w:ascii="Times New Roman" w:hAnsi="Times New Roman" w:eastAsia="方正仿宋_GBK" w:cs="Times New Roman"/>
          <w:color w:val="auto"/>
          <w:spacing w:val="5"/>
          <w:sz w:val="32"/>
          <w:szCs w:val="32"/>
          <w:highlight w:val="none"/>
          <w:lang w:val="en-US" w:eastAsia="zh-CN"/>
        </w:rPr>
        <w:t>2025</w:t>
      </w:r>
      <w:r>
        <w:rPr>
          <w:rFonts w:hint="eastAsia" w:ascii="方正仿宋_GBK" w:hAnsi="方正仿宋_GBK" w:eastAsia="方正仿宋_GBK" w:cs="方正仿宋_GBK"/>
          <w:b w:val="0"/>
          <w:bCs w:val="0"/>
          <w:color w:val="auto"/>
          <w:sz w:val="32"/>
          <w:szCs w:val="32"/>
          <w:highlight w:val="none"/>
          <w:lang w:val="en-US" w:eastAsia="zh-CN"/>
        </w:rPr>
        <w:t>年装备采购计划总队已经履行采购程序。</w:t>
      </w:r>
    </w:p>
    <w:p>
      <w:pPr>
        <w:keepNext w:val="0"/>
        <w:keepLines w:val="0"/>
        <w:pageBreakBefore w:val="0"/>
        <w:widowControl/>
        <w:numPr>
          <w:ilvl w:val="0"/>
          <w:numId w:val="0"/>
        </w:numPr>
        <w:kinsoku/>
        <w:wordWrap/>
        <w:overflowPunct w:val="0"/>
        <w:topLinePunct w:val="0"/>
        <w:autoSpaceDE/>
        <w:autoSpaceDN/>
        <w:bidi w:val="0"/>
        <w:snapToGrid/>
        <w:spacing w:line="550" w:lineRule="exact"/>
        <w:ind w:left="600" w:leftChars="0"/>
        <w:jc w:val="both"/>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Times New Roman" w:hAnsi="Times New Roman" w:eastAsia="方正仿宋_GBK" w:cs="Times New Roman"/>
          <w:snapToGrid w:val="0"/>
          <w:color w:val="auto"/>
          <w:spacing w:val="8"/>
          <w:kern w:val="0"/>
          <w:sz w:val="32"/>
          <w:szCs w:val="32"/>
          <w:lang w:val="en-US" w:eastAsia="zh-CN" w:bidi="ar-SA"/>
        </w:rPr>
        <w:t>4</w:t>
      </w:r>
      <w:r>
        <w:rPr>
          <w:rFonts w:hint="default" w:ascii="Times New Roman" w:hAnsi="Times New Roman" w:eastAsia="方正仿宋_GBK" w:cs="Times New Roman"/>
          <w:snapToGrid w:val="0"/>
          <w:color w:val="auto"/>
          <w:spacing w:val="8"/>
          <w:kern w:val="0"/>
          <w:sz w:val="32"/>
          <w:szCs w:val="32"/>
          <w:lang w:val="en-US" w:eastAsia="zh-CN" w:bidi="ar-SA"/>
        </w:rPr>
        <w:t>.</w:t>
      </w:r>
      <w:r>
        <w:rPr>
          <w:rFonts w:hint="default" w:ascii="方正仿宋_GBK" w:hAnsi="方正仿宋_GBK" w:eastAsia="方正仿宋_GBK" w:cs="方正仿宋_GBK"/>
          <w:b w:val="0"/>
          <w:bCs w:val="0"/>
          <w:color w:val="auto"/>
          <w:sz w:val="32"/>
          <w:szCs w:val="32"/>
          <w:highlight w:val="none"/>
          <w:lang w:val="en-US" w:eastAsia="zh-CN"/>
        </w:rPr>
        <w:t>地方财政安排基础设施建设项目</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eastAsia" w:ascii="方正仿宋_GBK" w:hAnsi="方正仿宋_GBK" w:eastAsia="方正仿宋_GBK" w:cs="方正仿宋_GBK"/>
          <w:b w:val="0"/>
          <w:bCs w:val="0"/>
          <w:color w:val="auto"/>
          <w:sz w:val="32"/>
          <w:szCs w:val="32"/>
          <w:highlight w:val="none"/>
        </w:rPr>
      </w:pPr>
      <w:r>
        <w:rPr>
          <w:rFonts w:hint="eastAsia" w:ascii="方正仿宋_GBK" w:hAnsi="方正仿宋_GBK" w:eastAsia="方正仿宋_GBK" w:cs="方正仿宋_GBK"/>
          <w:b w:val="0"/>
          <w:bCs w:val="0"/>
          <w:color w:val="auto"/>
          <w:sz w:val="32"/>
          <w:szCs w:val="32"/>
          <w:highlight w:val="none"/>
        </w:rPr>
        <w:t>绩效自评综述：该类项目为</w:t>
      </w:r>
      <w:r>
        <w:rPr>
          <w:rFonts w:hint="eastAsia" w:ascii="方正仿宋_GBK" w:hAnsi="方正仿宋_GBK" w:eastAsia="方正仿宋_GBK" w:cs="方正仿宋_GBK"/>
          <w:b w:val="0"/>
          <w:bCs w:val="0"/>
          <w:color w:val="auto"/>
          <w:sz w:val="32"/>
          <w:szCs w:val="32"/>
          <w:highlight w:val="none"/>
          <w:lang w:eastAsia="zh-CN"/>
        </w:rPr>
        <w:t>沙田站消防站建设项目，</w:t>
      </w:r>
      <w:r>
        <w:rPr>
          <w:rFonts w:hint="eastAsia" w:ascii="方正仿宋_GBK" w:hAnsi="方正仿宋_GBK" w:eastAsia="方正仿宋_GBK" w:cs="方正仿宋_GBK"/>
          <w:b w:val="0"/>
          <w:bCs w:val="0"/>
          <w:color w:val="auto"/>
          <w:sz w:val="32"/>
          <w:szCs w:val="32"/>
          <w:highlight w:val="none"/>
          <w:lang w:val="en-US" w:eastAsia="zh-CN"/>
        </w:rPr>
        <w:t>根据年初设定的绩效目标，项目自评得</w:t>
      </w:r>
      <w:r>
        <w:rPr>
          <w:rFonts w:hint="eastAsia" w:ascii="方正仿宋_GBK" w:hAnsi="方正仿宋_GBK" w:eastAsia="方正仿宋_GBK" w:cs="方正仿宋_GBK"/>
          <w:b w:val="0"/>
          <w:bCs w:val="0"/>
          <w:color w:val="auto"/>
          <w:sz w:val="32"/>
          <w:szCs w:val="32"/>
          <w:highlight w:val="none"/>
        </w:rPr>
        <w:t>分</w:t>
      </w:r>
      <w:r>
        <w:rPr>
          <w:rFonts w:hint="eastAsia" w:ascii="方正仿宋_GBK" w:hAnsi="方正仿宋_GBK" w:eastAsia="方正仿宋_GBK" w:cs="方正仿宋_GBK"/>
          <w:b w:val="0"/>
          <w:bCs w:val="0"/>
          <w:color w:val="auto"/>
          <w:sz w:val="32"/>
          <w:szCs w:val="32"/>
          <w:highlight w:val="none"/>
          <w:lang w:eastAsia="zh-CN"/>
        </w:rPr>
        <w:t>为</w:t>
      </w:r>
      <w:r>
        <w:rPr>
          <w:rFonts w:hint="eastAsia" w:ascii="Times New Roman" w:hAnsi="Times New Roman" w:eastAsia="方正仿宋_GBK" w:cs="Times New Roman"/>
          <w:color w:val="auto"/>
          <w:spacing w:val="5"/>
          <w:sz w:val="32"/>
          <w:szCs w:val="32"/>
          <w:highlight w:val="none"/>
          <w:lang w:val="en-US" w:eastAsia="zh-CN"/>
        </w:rPr>
        <w:t>100</w:t>
      </w:r>
      <w:r>
        <w:rPr>
          <w:rFonts w:hint="eastAsia" w:ascii="方正仿宋_GBK" w:hAnsi="方正仿宋_GBK" w:eastAsia="方正仿宋_GBK" w:cs="方正仿宋_GBK"/>
          <w:b w:val="0"/>
          <w:bCs w:val="0"/>
          <w:color w:val="auto"/>
          <w:sz w:val="32"/>
          <w:szCs w:val="32"/>
          <w:highlight w:val="none"/>
          <w:lang w:val="en-US" w:eastAsia="zh-CN"/>
        </w:rPr>
        <w:t>分</w:t>
      </w:r>
      <w:r>
        <w:rPr>
          <w:rFonts w:hint="eastAsia" w:ascii="方正仿宋_GBK" w:hAnsi="方正仿宋_GBK" w:eastAsia="方正仿宋_GBK" w:cs="方正仿宋_GBK"/>
          <w:b w:val="0"/>
          <w:bCs w:val="0"/>
          <w:color w:val="auto"/>
          <w:sz w:val="32"/>
          <w:szCs w:val="32"/>
          <w:highlight w:val="none"/>
          <w:lang w:eastAsia="zh-CN"/>
        </w:rPr>
        <w:t>。项目</w:t>
      </w:r>
      <w:r>
        <w:rPr>
          <w:rFonts w:hint="eastAsia" w:ascii="方正仿宋_GBK" w:hAnsi="方正仿宋_GBK" w:eastAsia="方正仿宋_GBK" w:cs="方正仿宋_GBK"/>
          <w:b w:val="0"/>
          <w:bCs w:val="0"/>
          <w:color w:val="auto"/>
          <w:sz w:val="32"/>
          <w:szCs w:val="32"/>
          <w:highlight w:val="none"/>
        </w:rPr>
        <w:t>全年预算</w:t>
      </w:r>
      <w:r>
        <w:rPr>
          <w:rFonts w:hint="eastAsia" w:ascii="Times New Roman" w:hAnsi="Times New Roman" w:eastAsia="方正仿宋_GBK" w:cs="Times New Roman"/>
          <w:color w:val="auto"/>
          <w:spacing w:val="5"/>
          <w:sz w:val="32"/>
          <w:szCs w:val="32"/>
          <w:highlight w:val="none"/>
          <w:lang w:val="en-US" w:eastAsia="zh-CN"/>
        </w:rPr>
        <w:t>6</w:t>
      </w:r>
      <w:r>
        <w:rPr>
          <w:rFonts w:hint="eastAsia" w:ascii="方正仿宋_GBK" w:hAnsi="方正仿宋_GBK" w:eastAsia="方正仿宋_GBK" w:cs="方正仿宋_GBK"/>
          <w:b w:val="0"/>
          <w:bCs w:val="0"/>
          <w:color w:val="auto"/>
          <w:sz w:val="32"/>
          <w:szCs w:val="32"/>
          <w:highlight w:val="none"/>
        </w:rPr>
        <w:t>万元，全年实际支出</w:t>
      </w:r>
      <w:r>
        <w:rPr>
          <w:rFonts w:hint="eastAsia" w:ascii="Times New Roman" w:hAnsi="Times New Roman" w:eastAsia="方正仿宋_GBK" w:cs="Times New Roman"/>
          <w:color w:val="auto"/>
          <w:spacing w:val="5"/>
          <w:sz w:val="32"/>
          <w:szCs w:val="32"/>
          <w:highlight w:val="none"/>
          <w:lang w:val="en-US" w:eastAsia="zh-CN"/>
        </w:rPr>
        <w:t>6</w:t>
      </w:r>
      <w:r>
        <w:rPr>
          <w:rFonts w:hint="eastAsia" w:ascii="方正仿宋_GBK" w:hAnsi="方正仿宋_GBK" w:eastAsia="方正仿宋_GBK" w:cs="方正仿宋_GBK"/>
          <w:b w:val="0"/>
          <w:bCs w:val="0"/>
          <w:color w:val="auto"/>
          <w:sz w:val="32"/>
          <w:szCs w:val="32"/>
          <w:highlight w:val="none"/>
        </w:rPr>
        <w:t>万元，预算执行率</w:t>
      </w:r>
      <w:r>
        <w:rPr>
          <w:rFonts w:hint="eastAsia" w:ascii="Times New Roman" w:hAnsi="Times New Roman" w:eastAsia="方正仿宋_GBK" w:cs="Times New Roman"/>
          <w:color w:val="auto"/>
          <w:spacing w:val="5"/>
          <w:sz w:val="32"/>
          <w:szCs w:val="32"/>
          <w:highlight w:val="none"/>
          <w:lang w:val="en-US" w:eastAsia="zh-CN"/>
        </w:rPr>
        <w:t>100%</w:t>
      </w:r>
      <w:r>
        <w:rPr>
          <w:rFonts w:hint="eastAsia" w:ascii="方正仿宋_GBK" w:hAnsi="方正仿宋_GBK" w:eastAsia="方正仿宋_GBK" w:cs="方正仿宋_GBK"/>
          <w:b w:val="0"/>
          <w:bCs w:val="0"/>
          <w:color w:val="auto"/>
          <w:sz w:val="32"/>
          <w:szCs w:val="32"/>
          <w:highlight w:val="none"/>
        </w:rPr>
        <w:t>。</w:t>
      </w:r>
    </w:p>
    <w:p>
      <w:pPr>
        <w:keepNext w:val="0"/>
        <w:keepLines w:val="0"/>
        <w:pageBreakBefore w:val="0"/>
        <w:widowControl/>
        <w:kinsoku/>
        <w:wordWrap/>
        <w:overflowPunct w:val="0"/>
        <w:topLinePunct w:val="0"/>
        <w:autoSpaceDE/>
        <w:autoSpaceDN/>
        <w:bidi w:val="0"/>
        <w:snapToGrid/>
        <w:spacing w:line="550" w:lineRule="exact"/>
        <w:ind w:firstLine="640" w:firstLineChars="200"/>
        <w:jc w:val="both"/>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rPr>
        <w:t>项目绩效目标完成情况：</w:t>
      </w:r>
      <w:r>
        <w:rPr>
          <w:rFonts w:hint="eastAsia" w:ascii="方正仿宋_GBK" w:hAnsi="方正仿宋_GBK" w:eastAsia="方正仿宋_GBK" w:cs="方正仿宋_GBK"/>
          <w:b w:val="0"/>
          <w:bCs w:val="0"/>
          <w:color w:val="auto"/>
          <w:sz w:val="32"/>
          <w:szCs w:val="32"/>
          <w:highlight w:val="none"/>
          <w:lang w:eastAsia="zh-CN"/>
        </w:rPr>
        <w:t>该项目</w:t>
      </w:r>
      <w:r>
        <w:rPr>
          <w:rFonts w:hint="eastAsia" w:ascii="方正仿宋_GBK" w:hAnsi="方正仿宋_GBK" w:eastAsia="方正仿宋_GBK" w:cs="方正仿宋_GBK"/>
          <w:b w:val="0"/>
          <w:bCs w:val="0"/>
          <w:color w:val="auto"/>
          <w:sz w:val="32"/>
          <w:szCs w:val="32"/>
          <w:highlight w:val="none"/>
          <w:lang w:val="en-US" w:eastAsia="zh-CN"/>
        </w:rPr>
        <w:t>满足社会救援任务需求，提升消防社会影响力，从整体上提高消防救援队伍的战斗力和后勤保障力，有利于维护当前安定团结和稳定发展的大好局面，有利于推动全市消防工作的快速发展，从而为建设和社会发展提供良好的消防安全环境。</w:t>
      </w:r>
    </w:p>
    <w:p>
      <w:pPr>
        <w:keepNext w:val="0"/>
        <w:keepLines w:val="0"/>
        <w:pageBreakBefore w:val="0"/>
        <w:widowControl/>
        <w:kinsoku/>
        <w:wordWrap/>
        <w:overflowPunct w:val="0"/>
        <w:topLinePunct w:val="0"/>
        <w:bidi w:val="0"/>
        <w:spacing w:line="540" w:lineRule="exact"/>
        <w:ind w:firstLine="640" w:firstLineChars="200"/>
        <w:jc w:val="both"/>
        <w:outlineLvl w:val="9"/>
        <w:rPr>
          <w:rFonts w:hint="eastAsia" w:ascii="Times New Roman" w:hAnsi="Times New Roman" w:eastAsia="方正楷体_GBK"/>
          <w:b w:val="0"/>
          <w:bCs/>
          <w:kern w:val="0"/>
          <w:sz w:val="32"/>
          <w:szCs w:val="32"/>
          <w:highlight w:val="none"/>
          <w:lang w:val="en-US" w:eastAsia="zh-CN"/>
        </w:rPr>
      </w:pPr>
      <w:r>
        <w:rPr>
          <w:rFonts w:hint="eastAsia" w:ascii="Times New Roman" w:hAnsi="Times New Roman" w:eastAsia="方正楷体_GBK"/>
          <w:b w:val="0"/>
          <w:bCs/>
          <w:kern w:val="0"/>
          <w:sz w:val="32"/>
          <w:szCs w:val="32"/>
          <w:highlight w:val="none"/>
          <w:lang w:val="en-US" w:eastAsia="zh-CN"/>
        </w:rPr>
        <w:t>（三）部分项目绩效自评表</w:t>
      </w:r>
    </w:p>
    <w:p>
      <w:pPr>
        <w:rPr>
          <w:rFonts w:hint="eastAsia" w:ascii="Times New Roman" w:hAnsi="Times New Roman" w:eastAsia="方正楷体_GBK"/>
          <w:b w:val="0"/>
          <w:bCs/>
          <w:kern w:val="0"/>
          <w:sz w:val="32"/>
          <w:szCs w:val="32"/>
          <w:highlight w:val="none"/>
          <w:lang w:val="en-US" w:eastAsia="zh-CN"/>
        </w:rPr>
      </w:pPr>
    </w:p>
    <w:tbl>
      <w:tblPr>
        <w:tblStyle w:val="11"/>
        <w:tblW w:w="882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691"/>
        <w:gridCol w:w="998"/>
        <w:gridCol w:w="596"/>
        <w:gridCol w:w="902"/>
        <w:gridCol w:w="1216"/>
        <w:gridCol w:w="1099"/>
        <w:gridCol w:w="628"/>
        <w:gridCol w:w="655"/>
        <w:gridCol w:w="627"/>
        <w:gridCol w:w="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8827" w:type="dxa"/>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郴州支队桂东大队伙食补助费项目绩效自评表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8827" w:type="dxa"/>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4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郴州支队桂东大队伙食补助费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4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 国家消防救援局</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桂东县消防救援大队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13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32.74</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94"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其他资金 </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440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403"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val="0"/>
              <w:topLinePunct w:val="0"/>
              <w:bidi w:val="0"/>
              <w:jc w:val="both"/>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科学调剂伙食，保证消防救援指战员营养和体能消耗需要，提升队伍战斗力，预算执行率达到 95%以上。</w:t>
            </w:r>
          </w:p>
        </w:tc>
        <w:tc>
          <w:tcPr>
            <w:tcW w:w="374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val="0"/>
              <w:topLinePunct w:val="0"/>
              <w:bidi w:val="0"/>
              <w:jc w:val="both"/>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根据消防救援队伍伙食补助保障标准和人员实力，足额做好消防指战员伙食保障，满足消防员日常作战所需营养物资，提升消防救援队伍战斗力，预算执行率达100%。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69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364"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1" w:type="dxa"/>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9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支出投资/批复投资</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1"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9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498"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部门决算报告编制及时性</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1"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9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498" w:type="dxa"/>
            <w:gridSpan w:val="2"/>
            <w:tcBorders>
              <w:top w:val="single" w:color="000000" w:sz="4" w:space="0"/>
              <w:left w:val="single" w:color="000000"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提高防震减灾的基础能力 </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1" w:type="dxa"/>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9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满意度指标</w:t>
            </w:r>
          </w:p>
        </w:tc>
        <w:tc>
          <w:tcPr>
            <w:tcW w:w="1498" w:type="dxa"/>
            <w:gridSpan w:val="2"/>
            <w:tcBorders>
              <w:top w:val="single" w:color="auto" w:sz="4" w:space="0"/>
              <w:left w:val="single" w:color="000000"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应急指挥系统服务对象</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5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3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80"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364"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82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p>
        </w:tc>
      </w:tr>
    </w:tbl>
    <w:p>
      <w:pPr>
        <w:keepNext w:val="0"/>
        <w:keepLines w:val="0"/>
        <w:pageBreakBefore w:val="0"/>
        <w:widowControl/>
        <w:kinsoku/>
        <w:wordWrap/>
        <w:overflowPunct w:val="0"/>
        <w:topLinePunct w:val="0"/>
        <w:bidi w:val="0"/>
        <w:jc w:val="both"/>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color w:val="auto"/>
          <w:spacing w:val="5"/>
          <w:sz w:val="31"/>
          <w:szCs w:val="31"/>
          <w:highlight w:val="none"/>
        </w:rPr>
        <w:br w:type="page"/>
      </w:r>
    </w:p>
    <w:tbl>
      <w:tblPr>
        <w:tblStyle w:val="11"/>
        <w:tblW w:w="940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9"/>
        <w:gridCol w:w="971"/>
        <w:gridCol w:w="1297"/>
        <w:gridCol w:w="367"/>
        <w:gridCol w:w="1183"/>
        <w:gridCol w:w="1122"/>
        <w:gridCol w:w="1159"/>
        <w:gridCol w:w="731"/>
        <w:gridCol w:w="622"/>
        <w:gridCol w:w="819"/>
        <w:gridCol w:w="6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9400" w:type="dxa"/>
            <w:gridSpan w:val="11"/>
            <w:tcBorders>
              <w:top w:val="nil"/>
              <w:left w:val="nil"/>
              <w:bottom w:val="nil"/>
              <w:right w:val="nil"/>
            </w:tcBorders>
            <w:shd w:val="clear" w:color="auto" w:fill="auto"/>
            <w:noWrap/>
            <w:vAlign w:val="center"/>
          </w:tcPr>
          <w:p>
            <w:pPr>
              <w:keepNext w:val="0"/>
              <w:keepLines w:val="0"/>
              <w:pageBreakBefore w:val="0"/>
              <w:widowControl/>
              <w:kinsoku/>
              <w:wordWrap/>
              <w:overflowPunct w:val="0"/>
              <w:topLinePunct w:val="0"/>
              <w:bidi w:val="0"/>
              <w:jc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snapToGrid w:val="0"/>
                <w:color w:val="000000"/>
                <w:kern w:val="0"/>
                <w:sz w:val="32"/>
                <w:szCs w:val="32"/>
                <w:u w:val="none"/>
                <w:lang w:val="en-US" w:eastAsia="zh-CN" w:bidi="ar"/>
              </w:rPr>
              <w:br w:type="page"/>
            </w:r>
            <w:r>
              <w:rPr>
                <w:rFonts w:hint="eastAsia" w:ascii="宋体" w:hAnsi="宋体" w:eastAsia="宋体" w:cs="宋体"/>
                <w:b/>
                <w:bCs/>
                <w:i w:val="0"/>
                <w:iCs w:val="0"/>
                <w:snapToGrid w:val="0"/>
                <w:color w:val="000000"/>
                <w:kern w:val="0"/>
                <w:sz w:val="32"/>
                <w:szCs w:val="32"/>
                <w:u w:val="none"/>
                <w:lang w:val="en-US" w:eastAsia="zh-CN" w:bidi="ar"/>
              </w:rPr>
              <w:t>政府专职消防员经费项目绩效自评表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9400" w:type="dxa"/>
            <w:gridSpan w:val="11"/>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39"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eastAsia" w:ascii="Arial" w:hAnsi="Arial" w:cs="Arial"/>
                <w:i w:val="0"/>
                <w:iCs w:val="0"/>
                <w:color w:val="000000"/>
                <w:sz w:val="20"/>
                <w:szCs w:val="20"/>
                <w:u w:val="none"/>
              </w:rPr>
            </w:pPr>
          </w:p>
        </w:tc>
        <w:tc>
          <w:tcPr>
            <w:tcW w:w="971"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1297"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367"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1183"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1122"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1159"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731"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622"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819"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c>
          <w:tcPr>
            <w:tcW w:w="690" w:type="dxa"/>
            <w:tcBorders>
              <w:top w:val="nil"/>
              <w:left w:val="nil"/>
              <w:bottom w:val="nil"/>
              <w:right w:val="nil"/>
            </w:tcBorders>
            <w:shd w:val="clear" w:color="auto" w:fill="auto"/>
            <w:noWrap/>
            <w:vAlign w:val="bottom"/>
          </w:tcPr>
          <w:p>
            <w:pPr>
              <w:keepNext w:val="0"/>
              <w:keepLines w:val="0"/>
              <w:pageBreakBefore w:val="0"/>
              <w:widowControl/>
              <w:kinsoku/>
              <w:wordWrap/>
              <w:overflowPunct w:val="0"/>
              <w:topLinePunct w:val="0"/>
              <w:bidi w:val="0"/>
              <w:jc w:val="both"/>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79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政府专职消防员经费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主管部门</w:t>
            </w:r>
          </w:p>
        </w:tc>
        <w:tc>
          <w:tcPr>
            <w:tcW w:w="28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[225] 国家消防救援局</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实施单位</w:t>
            </w:r>
          </w:p>
        </w:tc>
        <w:tc>
          <w:tcPr>
            <w:tcW w:w="4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桂东县消防救援大队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项目资金</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（万元）</w:t>
            </w: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年初预算数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全年预算数</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全年执行数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分值</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执行率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年度资金总额：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419.16</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419.16</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406.77</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其中：财政拨款</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664"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上年结转</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0.00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其他资金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419.16</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419.16</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406.77</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度</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总</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体</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目</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标</w:t>
            </w:r>
          </w:p>
        </w:tc>
        <w:tc>
          <w:tcPr>
            <w:tcW w:w="49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预期目标</w:t>
            </w:r>
          </w:p>
        </w:tc>
        <w:tc>
          <w:tcPr>
            <w:tcW w:w="40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494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val="0"/>
              <w:topLinePunct w:val="0"/>
              <w:bidi w:val="0"/>
              <w:jc w:val="both"/>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消防救援队伍用于保障机构正常运行，用于保障大队政府专职消防员的人员工资福利支出以及对个人和家庭的补助等人员经费支出。</w:t>
            </w:r>
          </w:p>
        </w:tc>
        <w:tc>
          <w:tcPr>
            <w:tcW w:w="4021"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val="0"/>
              <w:topLinePunct w:val="0"/>
              <w:bidi w:val="0"/>
              <w:jc w:val="both"/>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政府专职消防员经费采购项目，保障大队政府专职消防员工资福利以及津贴补贴支出，提升消防救援队伍战斗力，预算执行率达97%以上。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4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绩</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效</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指</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标</w:t>
            </w:r>
          </w:p>
        </w:tc>
        <w:tc>
          <w:tcPr>
            <w:tcW w:w="97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一级指标</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二级指标</w:t>
            </w:r>
          </w:p>
        </w:tc>
        <w:tc>
          <w:tcPr>
            <w:tcW w:w="1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三级指标</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年度指标值</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实际完成值</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分值</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得分</w:t>
            </w:r>
          </w:p>
        </w:tc>
        <w:tc>
          <w:tcPr>
            <w:tcW w:w="1509"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偏差原因分析及</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971"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成本指标</w:t>
            </w:r>
          </w:p>
        </w:tc>
        <w:tc>
          <w:tcPr>
            <w:tcW w:w="129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经济成本指标</w:t>
            </w:r>
          </w:p>
        </w:tc>
        <w:tc>
          <w:tcPr>
            <w:tcW w:w="155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预算成本控制情况</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≤419.16万元</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406.77万元</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w:t>
            </w:r>
          </w:p>
        </w:tc>
        <w:tc>
          <w:tcPr>
            <w:tcW w:w="6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20.0</w:t>
            </w:r>
          </w:p>
        </w:tc>
        <w:tc>
          <w:tcPr>
            <w:tcW w:w="1509"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政府专职消防员经费年初按照全员全勤计算，实际支出按照实际出勤人员计算，导致预算执行率有偏差。下一步将严格按照标准测算政府专职消防员经费。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971" w:type="dxa"/>
            <w:tcBorders>
              <w:top w:val="single" w:color="000000" w:sz="4" w:space="0"/>
              <w:left w:val="nil"/>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产出指标</w:t>
            </w:r>
          </w:p>
        </w:tc>
        <w:tc>
          <w:tcPr>
            <w:tcW w:w="129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质量指标</w:t>
            </w:r>
          </w:p>
        </w:tc>
        <w:tc>
          <w:tcPr>
            <w:tcW w:w="1550" w:type="dxa"/>
            <w:gridSpan w:val="2"/>
            <w:tcBorders>
              <w:top w:val="single" w:color="000000" w:sz="4" w:space="0"/>
              <w:left w:val="single" w:color="000000"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预算执行率</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40</w:t>
            </w:r>
          </w:p>
        </w:tc>
        <w:tc>
          <w:tcPr>
            <w:tcW w:w="6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38.8</w:t>
            </w:r>
          </w:p>
        </w:tc>
        <w:tc>
          <w:tcPr>
            <w:tcW w:w="1509" w:type="dxa"/>
            <w:gridSpan w:val="2"/>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39"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9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效益指标</w:t>
            </w:r>
          </w:p>
        </w:tc>
        <w:tc>
          <w:tcPr>
            <w:tcW w:w="12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社会效益指标</w:t>
            </w:r>
          </w:p>
        </w:tc>
        <w:tc>
          <w:tcPr>
            <w:tcW w:w="15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满足社会救援任务需求，提升社会影响力</w:t>
            </w:r>
          </w:p>
        </w:tc>
        <w:tc>
          <w:tcPr>
            <w:tcW w:w="112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≥100百分比</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97.00百分比</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w:t>
            </w:r>
          </w:p>
        </w:tc>
        <w:tc>
          <w:tcPr>
            <w:tcW w:w="1509" w:type="dxa"/>
            <w:gridSpan w:val="2"/>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6" w:hRule="atLeast"/>
        </w:trPr>
        <w:tc>
          <w:tcPr>
            <w:tcW w:w="439"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9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2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15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基层消防救援指战员保持充沛体力，进一步提升战斗力</w:t>
            </w:r>
          </w:p>
        </w:tc>
        <w:tc>
          <w:tcPr>
            <w:tcW w:w="112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w:t>
            </w:r>
          </w:p>
        </w:tc>
        <w:tc>
          <w:tcPr>
            <w:tcW w:w="1509" w:type="dxa"/>
            <w:gridSpan w:val="2"/>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trPr>
        <w:tc>
          <w:tcPr>
            <w:tcW w:w="439"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满意度指标</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服务对象</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满意度指标</w:t>
            </w:r>
          </w:p>
        </w:tc>
        <w:tc>
          <w:tcPr>
            <w:tcW w:w="15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基层消防救援指战员对伙食满意度</w:t>
            </w:r>
          </w:p>
        </w:tc>
        <w:tc>
          <w:tcPr>
            <w:tcW w:w="1122"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w:t>
            </w:r>
          </w:p>
        </w:tc>
        <w:tc>
          <w:tcPr>
            <w:tcW w:w="62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1509"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538"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总分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100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97.9</w:t>
            </w:r>
          </w:p>
        </w:tc>
        <w:tc>
          <w:tcPr>
            <w:tcW w:w="1509"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val="0"/>
              <w:topLinePunct w:val="0"/>
              <w:bidi w:val="0"/>
              <w:jc w:val="both"/>
              <w:rPr>
                <w:rFonts w:hint="eastAsia" w:ascii="宋体" w:hAnsi="宋体" w:eastAsia="宋体" w:cs="宋体"/>
                <w:i w:val="0"/>
                <w:iCs w:val="0"/>
                <w:color w:val="000000"/>
                <w:sz w:val="18"/>
                <w:szCs w:val="18"/>
                <w:u w:val="none"/>
              </w:rPr>
            </w:pPr>
          </w:p>
        </w:tc>
      </w:tr>
    </w:tbl>
    <w:p>
      <w:pPr>
        <w:keepNext w:val="0"/>
        <w:keepLines w:val="0"/>
        <w:pageBreakBefore w:val="0"/>
        <w:widowControl/>
        <w:kinsoku/>
        <w:wordWrap/>
        <w:overflowPunct w:val="0"/>
        <w:topLinePunct w:val="0"/>
        <w:bidi w:val="0"/>
        <w:jc w:val="both"/>
        <w:rPr>
          <w:rFonts w:hint="eastAsia" w:ascii="宋体" w:hAnsi="宋体" w:eastAsia="宋体" w:cs="宋体"/>
          <w:b/>
          <w:bCs/>
          <w:i w:val="0"/>
          <w:iCs w:val="0"/>
          <w:snapToGrid w:val="0"/>
          <w:color w:val="000000"/>
          <w:kern w:val="0"/>
          <w:sz w:val="32"/>
          <w:szCs w:val="32"/>
          <w:u w:val="none"/>
          <w:lang w:val="en-US" w:eastAsia="zh-CN" w:bidi="ar"/>
        </w:rPr>
      </w:pPr>
    </w:p>
    <w:p>
      <w:pPr>
        <w:keepNext w:val="0"/>
        <w:keepLines w:val="0"/>
        <w:pageBreakBefore w:val="0"/>
        <w:widowControl/>
        <w:suppressLineNumbers w:val="0"/>
        <w:kinsoku/>
        <w:wordWrap/>
        <w:overflowPunct w:val="0"/>
        <w:topLinePunct w:val="0"/>
        <w:bidi w:val="0"/>
        <w:jc w:val="both"/>
        <w:textAlignment w:val="center"/>
        <w:rPr>
          <w:rFonts w:hint="eastAsia" w:ascii="宋体" w:hAnsi="宋体" w:eastAsia="宋体" w:cs="宋体"/>
          <w:b/>
          <w:bCs/>
          <w:i w:val="0"/>
          <w:iCs w:val="0"/>
          <w:snapToGrid w:val="0"/>
          <w:color w:val="000000"/>
          <w:kern w:val="0"/>
          <w:sz w:val="32"/>
          <w:szCs w:val="32"/>
          <w:u w:val="none"/>
          <w:lang w:val="en-US" w:eastAsia="zh-CN" w:bidi="ar"/>
        </w:rPr>
      </w:pPr>
    </w:p>
    <w:p>
      <w:pPr>
        <w:keepNext w:val="0"/>
        <w:keepLines w:val="0"/>
        <w:pageBreakBefore w:val="0"/>
        <w:widowControl/>
        <w:kinsoku/>
        <w:wordWrap/>
        <w:overflowPunct w:val="0"/>
        <w:topLinePunct w:val="0"/>
        <w:bidi w:val="0"/>
        <w:jc w:val="both"/>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color w:val="auto"/>
          <w:spacing w:val="5"/>
          <w:sz w:val="31"/>
          <w:szCs w:val="31"/>
          <w:highlight w:val="none"/>
        </w:rPr>
        <w:br w:type="page"/>
      </w:r>
    </w:p>
    <w:p>
      <w:pPr>
        <w:keepNext w:val="0"/>
        <w:keepLines w:val="0"/>
        <w:pageBreakBefore w:val="0"/>
        <w:widowControl/>
        <w:kinsoku/>
        <w:wordWrap/>
        <w:overflowPunct w:val="0"/>
        <w:topLinePunct w:val="0"/>
        <w:autoSpaceDE w:val="0"/>
        <w:autoSpaceDN w:val="0"/>
        <w:bidi w:val="0"/>
        <w:adjustRightInd w:val="0"/>
        <w:snapToGrid w:val="0"/>
        <w:spacing w:line="600" w:lineRule="exact"/>
        <w:jc w:val="both"/>
        <w:textAlignment w:val="baseline"/>
        <w:rPr>
          <w:rFonts w:hint="default" w:ascii="Times New Roman" w:hAnsi="Times New Roman" w:eastAsia="方正仿宋_GBK" w:cs="Times New Roman"/>
          <w:color w:val="auto"/>
          <w:spacing w:val="5"/>
          <w:sz w:val="31"/>
          <w:szCs w:val="31"/>
          <w:highlight w:val="none"/>
        </w:rPr>
        <w:sectPr>
          <w:footerReference r:id="rId12" w:type="default"/>
          <w:pgSz w:w="11907" w:h="16839"/>
          <w:pgMar w:top="2098" w:right="1531" w:bottom="1531" w:left="1531" w:header="0" w:footer="654" w:gutter="0"/>
          <w:pgBorders>
            <w:top w:val="none" w:sz="0" w:space="0"/>
            <w:left w:val="none" w:sz="0" w:space="0"/>
            <w:bottom w:val="none" w:sz="0" w:space="0"/>
            <w:right w:val="none" w:sz="0" w:space="0"/>
          </w:pgBorders>
          <w:pgNumType w:fmt="decimal"/>
          <w:cols w:space="720" w:num="1"/>
        </w:sect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0" distR="0" simplePos="0" relativeHeight="251671552" behindDoc="1" locked="0" layoutInCell="1" allowOverlap="1">
                <wp:simplePos x="0" y="0"/>
                <wp:positionH relativeFrom="column">
                  <wp:posOffset>1905</wp:posOffset>
                </wp:positionH>
                <wp:positionV relativeFrom="paragraph">
                  <wp:posOffset>153035</wp:posOffset>
                </wp:positionV>
                <wp:extent cx="7560945" cy="1800225"/>
                <wp:effectExtent l="0" t="0" r="1905" b="9525"/>
                <wp:wrapNone/>
                <wp:docPr id="15" name="Rect 22"/>
                <wp:cNvGraphicFramePr/>
                <a:graphic xmlns:a="http://schemas.openxmlformats.org/drawingml/2006/main">
                  <a:graphicData uri="http://schemas.microsoft.com/office/word/2010/wordprocessingShape">
                    <wps:wsp>
                      <wps:cNvSpPr/>
                      <wps:spPr>
                        <a:xfrm>
                          <a:off x="0" y="-39428"/>
                          <a:ext cx="7560944" cy="1800225"/>
                        </a:xfrm>
                        <a:prstGeom prst="rect">
                          <a:avLst/>
                        </a:prstGeom>
                        <a:solidFill>
                          <a:srgbClr val="92D050">
                            <a:alpha val="87450"/>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rect id="Rect 22" o:spid="_x0000_s1026" o:spt="1" style="position:absolute;left:0pt;margin-left:0.15pt;margin-top:12.05pt;height:141.75pt;width:595.35pt;z-index:-251644928;mso-width-relative:page;mso-height-relative:page;" fillcolor="#92D050" filled="t" stroked="f" coordsize="21600,21600" o:gfxdata="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Bl6ZzdUAAAAIAQAADwAAAAAAAAABACAAAAA4AAAAZHJzL2Rv&#10;d25yZXYueG1sUEsBAhQAFAAAAAgAh07iQCgFr+YnAgAATAQAAA4AAAAAAAAAAQAgAAAAOgEAAGRy&#10;cy9lMm9Eb2MueG1sUEsFBgAAAAAGAAYAWQEAANMFAAAAAA==&#10;">
                <v:fill on="t" opacity="57311f" focussize="0,0"/>
                <v:stroke on="f" weight="0pt"/>
                <v:imagedata o:title=""/>
                <o:lock v:ext="edit" aspectratio="f"/>
                <v:textbox inset="0mm,0mm,0mm,0mm"/>
              </v:rect>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74930</wp:posOffset>
                </wp:positionH>
                <wp:positionV relativeFrom="paragraph">
                  <wp:posOffset>156845</wp:posOffset>
                </wp:positionV>
                <wp:extent cx="7560945" cy="6350"/>
                <wp:effectExtent l="0" t="0" r="0" b="0"/>
                <wp:wrapNone/>
                <wp:docPr id="20" name="任意多边形 20"/>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12854" y="5"/>
                              </a:moveTo>
                              <a:lnTo>
                                <a:pt x="-302" y="5"/>
                              </a:lnTo>
                            </a:path>
                          </a:pathLst>
                        </a:custGeom>
                        <a:noFill/>
                        <a:ln w="6350" cap="rnd" cmpd="sng">
                          <a:solidFill>
                            <a:srgbClr val="000000"/>
                          </a:solidFill>
                          <a:prstDash val="solid"/>
                          <a:miter lim="1000000"/>
                          <a:headEnd type="none" w="med" len="med"/>
                          <a:tailEnd type="none" w="med" len="med"/>
                        </a:ln>
                      </wps:spPr>
                      <wps:bodyPr upright="true"/>
                    </wps:wsp>
                  </a:graphicData>
                </a:graphic>
              </wp:anchor>
            </w:drawing>
          </mc:Choice>
          <mc:Fallback>
            <w:pict>
              <v:shape id="_x0000_s1026" o:spid="_x0000_s1026" o:spt="100" style="position:absolute;left:0pt;margin-left:5.9pt;margin-top:12.35pt;height:0.5pt;width:595.35pt;z-index:251672576;mso-width-relative:page;mso-height-relative:page;" filled="f" stroked="t" coordsize="11906,10" o:gfxdata="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2zIewdcAAAAJAQAADwAAAAAAAAABACAAAAA4&#10;AAAAZHJzL2Rvd25yZXYueG1sUEsBAhQAFAAAAAgAh07iQNW5C5MuAgAAXwQAAA4AAAAAAAAAAQAg&#10;AAAAPAEAAGRycy9lMm9Eb2MueG1sUEsFBgAAAAAGAAYAWQEAANwFAAAAAA==&#10;" path="m12854,5l-302,5e">
                <v:fill on="f" focussize="0,0"/>
                <v:stroke weight="0.5pt" color="#000000" miterlimit="10" joinstyle="miter" endcap="round"/>
                <v:imagedata o:title=""/>
                <o:lock v:ext="edit" aspectratio="f"/>
              </v:shape>
            </w:pict>
          </mc:Fallback>
        </mc:AlternateContent>
      </w: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5" w:lineRule="auto"/>
        <w:jc w:val="both"/>
        <w:rPr>
          <w:rFonts w:hint="default" w:ascii="Times New Roman" w:hAnsi="Times New Roman" w:cs="Times New Roman"/>
          <w:color w:val="auto"/>
          <w:highlight w:val="none"/>
        </w:rPr>
      </w:pPr>
    </w:p>
    <w:p>
      <w:pPr>
        <w:pStyle w:val="5"/>
        <w:keepNext w:val="0"/>
        <w:keepLines w:val="0"/>
        <w:pageBreakBefore w:val="0"/>
        <w:widowControl/>
        <w:kinsoku/>
        <w:wordWrap/>
        <w:overflowPunct w:val="0"/>
        <w:topLinePunct w:val="0"/>
        <w:bidi w:val="0"/>
        <w:spacing w:line="246" w:lineRule="auto"/>
        <w:jc w:val="both"/>
        <w:rPr>
          <w:rFonts w:hint="default" w:ascii="Times New Roman" w:hAnsi="Times New Roman" w:cs="Times New Roman"/>
          <w:color w:val="auto"/>
          <w:highlight w:val="none"/>
        </w:rPr>
      </w:pPr>
    </w:p>
    <w:p>
      <w:pPr>
        <w:keepNext w:val="0"/>
        <w:keepLines w:val="0"/>
        <w:pageBreakBefore w:val="0"/>
        <w:widowControl/>
        <w:kinsoku/>
        <w:wordWrap/>
        <w:overflowPunct w:val="0"/>
        <w:topLinePunct w:val="0"/>
        <w:bidi w:val="0"/>
        <w:spacing w:before="191" w:line="232" w:lineRule="auto"/>
        <w:ind w:firstLine="710" w:firstLineChars="100"/>
        <w:jc w:val="both"/>
        <w:outlineLvl w:val="0"/>
        <w:rPr>
          <w:rFonts w:hint="default" w:ascii="Times New Roman" w:hAnsi="Times New Roman" w:eastAsia="方正黑体_GBK" w:cs="Times New Roman"/>
          <w:color w:val="auto"/>
          <w:spacing w:val="-5"/>
          <w:sz w:val="72"/>
          <w:szCs w:val="72"/>
          <w:highlight w:val="none"/>
        </w:rPr>
      </w:pPr>
      <w:bookmarkStart w:id="41" w:name="_Toc71824088"/>
      <w:r>
        <w:rPr>
          <w:rFonts w:hint="default" w:ascii="Times New Roman" w:hAnsi="Times New Roman" w:eastAsia="方正黑体_GBK" w:cs="Times New Roman"/>
          <w:color w:val="auto"/>
          <w:spacing w:val="-5"/>
          <w:sz w:val="72"/>
          <w:szCs w:val="72"/>
          <w:highlight w:val="none"/>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1294765</wp:posOffset>
                </wp:positionV>
                <wp:extent cx="7560945" cy="6350"/>
                <wp:effectExtent l="0" t="0" r="0" b="0"/>
                <wp:wrapNone/>
                <wp:docPr id="19" name="任意多边形 19"/>
                <wp:cNvGraphicFramePr/>
                <a:graphic xmlns:a="http://schemas.openxmlformats.org/drawingml/2006/main">
                  <a:graphicData uri="http://schemas.microsoft.com/office/word/2010/wordprocessingShape">
                    <wps:wsp>
                      <wps:cNvSpPr/>
                      <wps:spPr>
                        <a:xfrm>
                          <a:off x="0" y="0"/>
                          <a:ext cx="7560945" cy="6350"/>
                        </a:xfrm>
                        <a:custGeom>
                          <a:avLst/>
                          <a:gdLst/>
                          <a:ahLst/>
                          <a:cxnLst/>
                          <a:pathLst>
                            <a:path w="11906" h="10">
                              <a:moveTo>
                                <a:pt x="-302" y="5"/>
                              </a:moveTo>
                              <a:lnTo>
                                <a:pt x="12854" y="5"/>
                              </a:lnTo>
                            </a:path>
                          </a:pathLst>
                        </a:custGeom>
                        <a:noFill/>
                        <a:ln w="6350" cap="rnd" cmpd="sng">
                          <a:solidFill>
                            <a:srgbClr val="000000"/>
                          </a:solidFill>
                          <a:prstDash val="solid"/>
                          <a:miter lim="1000000"/>
                          <a:headEnd type="none" w="med" len="med"/>
                          <a:tailEnd type="none" w="med" len="med"/>
                        </a:ln>
                      </wps:spPr>
                      <wps:bodyPr upright="true"/>
                    </wps:wsp>
                  </a:graphicData>
                </a:graphic>
              </wp:anchor>
            </w:drawing>
          </mc:Choice>
          <mc:Fallback>
            <w:pict>
              <v:shape id="_x0000_s1026" o:spid="_x0000_s1026" o:spt="100" style="position:absolute;left:0pt;margin-left:0.25pt;margin-top:101.95pt;height:0.5pt;width:595.35pt;z-index:251673600;mso-width-relative:page;mso-height-relative:page;" filled="f" stroked="t" coordsize="11906,10" o:gfxdata="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VYos3dcAAAAJAQAADwAAAAAAAAABACAAAAA4&#10;AAAAZHJzL2Rvd25yZXYueG1sUEsBAhQAFAAAAAgAh07iQIJvHDIuAgAAXwQAAA4AAAAAAAAAAQAg&#10;AAAAPAEAAGRycy9lMm9Eb2MueG1sUEsFBgAAAAAGAAYAWQEAANwFAAAAAA==&#10;" path="m-302,5l12854,5e">
                <v:fill on="f" focussize="0,0"/>
                <v:stroke weight="0.5pt" color="#000000" miterlimit="10" joinstyle="miter" endcap="round"/>
                <v:imagedata o:title=""/>
                <o:lock v:ext="edit" aspectratio="f"/>
              </v:shape>
            </w:pict>
          </mc:Fallback>
        </mc:AlternateContent>
      </w:r>
      <w:r>
        <w:rPr>
          <w:rFonts w:hint="default" w:ascii="Times New Roman" w:hAnsi="Times New Roman" w:eastAsia="方正黑体_GBK" w:cs="Times New Roman"/>
          <w:color w:val="auto"/>
          <w:spacing w:val="-5"/>
          <w:sz w:val="72"/>
          <w:szCs w:val="72"/>
          <w:highlight w:val="none"/>
        </w:rPr>
        <w:t>第四部分</w:t>
      </w:r>
      <w:bookmarkEnd w:id="41"/>
      <w:bookmarkStart w:id="42" w:name="_Toc1511929582"/>
      <w:r>
        <w:rPr>
          <w:rFonts w:hint="eastAsia" w:ascii="Times New Roman" w:hAnsi="Times New Roman" w:eastAsia="方正黑体_GBK" w:cs="Times New Roman"/>
          <w:color w:val="auto"/>
          <w:spacing w:val="-5"/>
          <w:sz w:val="72"/>
          <w:szCs w:val="72"/>
          <w:highlight w:val="none"/>
          <w:lang w:val="en-US" w:eastAsia="zh-CN"/>
        </w:rPr>
        <w:t xml:space="preserve">  </w:t>
      </w:r>
      <w:r>
        <w:rPr>
          <w:rFonts w:hint="default" w:ascii="Times New Roman" w:hAnsi="Times New Roman" w:eastAsia="方正黑体_GBK" w:cs="Times New Roman"/>
          <w:color w:val="auto"/>
          <w:spacing w:val="-5"/>
          <w:sz w:val="72"/>
          <w:szCs w:val="72"/>
          <w:highlight w:val="none"/>
        </w:rPr>
        <w:t>名词解释</w:t>
      </w:r>
      <w:bookmarkEnd w:id="42"/>
    </w:p>
    <w:p>
      <w:pPr>
        <w:keepNext w:val="0"/>
        <w:keepLines w:val="0"/>
        <w:pageBreakBefore w:val="0"/>
        <w:widowControl/>
        <w:kinsoku/>
        <w:wordWrap/>
        <w:overflowPunct w:val="0"/>
        <w:topLinePunct w:val="0"/>
        <w:bidi w:val="0"/>
        <w:spacing w:line="233" w:lineRule="auto"/>
        <w:jc w:val="both"/>
        <w:rPr>
          <w:rFonts w:hint="default" w:ascii="Times New Roman" w:hAnsi="Times New Roman" w:eastAsia="方正黑体_GBK" w:cs="Times New Roman"/>
          <w:color w:val="auto"/>
          <w:sz w:val="72"/>
          <w:szCs w:val="72"/>
          <w:highlight w:val="none"/>
        </w:rPr>
        <w:sectPr>
          <w:footerReference r:id="rId13" w:type="default"/>
          <w:pgSz w:w="11907" w:h="16839"/>
          <w:pgMar w:top="1431" w:right="0" w:bottom="943" w:left="0" w:header="0" w:footer="67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113" w:line="600" w:lineRule="exact"/>
        <w:ind w:right="67" w:rightChars="0" w:firstLine="646"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6"/>
          <w:sz w:val="31"/>
          <w:szCs w:val="31"/>
          <w:highlight w:val="none"/>
          <w:lang w:eastAsia="zh-CN"/>
        </w:rPr>
        <w:t>一、</w:t>
      </w:r>
      <w:r>
        <w:rPr>
          <w:rFonts w:hint="default" w:ascii="Times New Roman" w:hAnsi="Times New Roman" w:eastAsia="方正仿宋_GBK" w:cs="Times New Roman"/>
          <w:b/>
          <w:bCs/>
          <w:color w:val="auto"/>
          <w:spacing w:val="6"/>
          <w:sz w:val="31"/>
          <w:szCs w:val="31"/>
          <w:highlight w:val="none"/>
        </w:rPr>
        <w:t>一般公共预算</w:t>
      </w:r>
      <w:r>
        <w:rPr>
          <w:rFonts w:hint="default" w:ascii="Times New Roman" w:hAnsi="Times New Roman" w:eastAsia="方正仿宋_GBK" w:cs="Times New Roman"/>
          <w:b/>
          <w:bCs/>
          <w:color w:val="auto"/>
          <w:spacing w:val="6"/>
          <w:sz w:val="31"/>
          <w:szCs w:val="31"/>
          <w:highlight w:val="none"/>
          <w:lang w:eastAsia="zh-CN"/>
        </w:rPr>
        <w:t>财政</w:t>
      </w:r>
      <w:r>
        <w:rPr>
          <w:rFonts w:hint="default" w:ascii="Times New Roman" w:hAnsi="Times New Roman" w:eastAsia="方正仿宋_GBK" w:cs="Times New Roman"/>
          <w:b/>
          <w:bCs/>
          <w:color w:val="auto"/>
          <w:spacing w:val="6"/>
          <w:sz w:val="31"/>
          <w:szCs w:val="31"/>
          <w:highlight w:val="none"/>
        </w:rPr>
        <w:t>拨款收入：</w:t>
      </w:r>
      <w:r>
        <w:rPr>
          <w:rFonts w:hint="default" w:ascii="Times New Roman" w:hAnsi="Times New Roman" w:eastAsia="方正仿宋_GBK" w:cs="Times New Roman"/>
          <w:color w:val="auto"/>
          <w:spacing w:val="6"/>
          <w:sz w:val="31"/>
          <w:szCs w:val="31"/>
          <w:highlight w:val="none"/>
        </w:rPr>
        <w:t>指中央财政当年拨付的资金。</w:t>
      </w:r>
    </w:p>
    <w:p>
      <w:pPr>
        <w:keepNext w:val="0"/>
        <w:keepLines w:val="0"/>
        <w:pageBreakBefore w:val="0"/>
        <w:widowControl/>
        <w:kinsoku/>
        <w:wordWrap/>
        <w:overflowPunct w:val="0"/>
        <w:topLinePunct w:val="0"/>
        <w:autoSpaceDE w:val="0"/>
        <w:autoSpaceDN w:val="0"/>
        <w:bidi w:val="0"/>
        <w:adjustRightInd w:val="0"/>
        <w:snapToGrid w:val="0"/>
        <w:spacing w:line="600" w:lineRule="exact"/>
        <w:ind w:right="0" w:firstLine="634"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二、事业收入：</w:t>
      </w:r>
      <w:r>
        <w:rPr>
          <w:rFonts w:hint="default" w:ascii="Times New Roman" w:hAnsi="Times New Roman" w:eastAsia="方正仿宋_GBK" w:cs="Times New Roman"/>
          <w:color w:val="auto"/>
          <w:spacing w:val="3"/>
          <w:sz w:val="31"/>
          <w:szCs w:val="31"/>
          <w:highlight w:val="none"/>
        </w:rPr>
        <w:t>指事业单位开展专业业务活动及辅助活动取得的收入。</w:t>
      </w:r>
    </w:p>
    <w:p>
      <w:pPr>
        <w:keepNext w:val="0"/>
        <w:keepLines w:val="0"/>
        <w:pageBreakBefore w:val="0"/>
        <w:widowControl/>
        <w:kinsoku/>
        <w:wordWrap/>
        <w:overflowPunct w:val="0"/>
        <w:topLinePunct w:val="0"/>
        <w:autoSpaceDE w:val="0"/>
        <w:autoSpaceDN w:val="0"/>
        <w:bidi w:val="0"/>
        <w:adjustRightInd w:val="0"/>
        <w:snapToGrid w:val="0"/>
        <w:spacing w:line="600" w:lineRule="exact"/>
        <w:ind w:right="0" w:firstLine="654"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8"/>
          <w:sz w:val="31"/>
          <w:szCs w:val="31"/>
          <w:highlight w:val="none"/>
        </w:rPr>
        <w:t>三、其他收入：</w:t>
      </w:r>
      <w:r>
        <w:rPr>
          <w:rFonts w:hint="default" w:ascii="Times New Roman" w:hAnsi="Times New Roman" w:eastAsia="方正仿宋_GBK" w:cs="Times New Roman"/>
          <w:color w:val="auto"/>
          <w:spacing w:val="8"/>
          <w:sz w:val="31"/>
          <w:szCs w:val="31"/>
          <w:highlight w:val="none"/>
        </w:rPr>
        <w:t>指除上述</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方正仿宋_GBK" w:cs="Times New Roman"/>
          <w:color w:val="auto"/>
          <w:spacing w:val="8"/>
          <w:sz w:val="31"/>
          <w:szCs w:val="31"/>
          <w:highlight w:val="none"/>
        </w:rPr>
        <w:t>一般公共预算</w:t>
      </w:r>
      <w:r>
        <w:rPr>
          <w:rFonts w:hint="eastAsia" w:ascii="Times New Roman" w:hAnsi="Times New Roman" w:eastAsia="方正仿宋_GBK" w:cs="Times New Roman"/>
          <w:color w:val="auto"/>
          <w:spacing w:val="8"/>
          <w:sz w:val="31"/>
          <w:szCs w:val="31"/>
          <w:highlight w:val="none"/>
          <w:lang w:eastAsia="zh-CN"/>
        </w:rPr>
        <w:t>财政</w:t>
      </w:r>
      <w:r>
        <w:rPr>
          <w:rFonts w:hint="default" w:ascii="Times New Roman" w:hAnsi="Times New Roman" w:eastAsia="方正仿宋_GBK" w:cs="Times New Roman"/>
          <w:color w:val="auto"/>
          <w:spacing w:val="8"/>
          <w:sz w:val="31"/>
          <w:szCs w:val="31"/>
          <w:highlight w:val="none"/>
        </w:rPr>
        <w:t>拨款收入</w:t>
      </w:r>
      <w:r>
        <w:rPr>
          <w:rFonts w:hint="default" w:ascii="Times New Roman" w:hAnsi="Times New Roman" w:eastAsia="Times New Roman" w:cs="Times New Roman"/>
          <w:color w:val="auto"/>
          <w:spacing w:val="8"/>
          <w:sz w:val="31"/>
          <w:szCs w:val="31"/>
          <w:highlight w:val="none"/>
        </w:rPr>
        <w:t>”</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方正仿宋_GBK" w:cs="Times New Roman"/>
          <w:color w:val="auto"/>
          <w:spacing w:val="8"/>
          <w:sz w:val="31"/>
          <w:szCs w:val="31"/>
          <w:highlight w:val="none"/>
        </w:rPr>
        <w:t>事业收</w:t>
      </w:r>
      <w:r>
        <w:rPr>
          <w:rFonts w:hint="default" w:ascii="Times New Roman" w:hAnsi="Times New Roman" w:eastAsia="方正仿宋_GBK" w:cs="Times New Roman"/>
          <w:color w:val="auto"/>
          <w:spacing w:val="7"/>
          <w:sz w:val="31"/>
          <w:szCs w:val="31"/>
          <w:highlight w:val="none"/>
        </w:rPr>
        <w:t>入</w:t>
      </w:r>
      <w:r>
        <w:rPr>
          <w:rFonts w:hint="default" w:ascii="Times New Roman" w:hAnsi="Times New Roman" w:eastAsia="Times New Roman" w:cs="Times New Roman"/>
          <w:color w:val="auto"/>
          <w:spacing w:val="7"/>
          <w:sz w:val="31"/>
          <w:szCs w:val="31"/>
          <w:highlight w:val="none"/>
        </w:rPr>
        <w:t>”</w:t>
      </w:r>
      <w:r>
        <w:rPr>
          <w:rFonts w:hint="default" w:ascii="Times New Roman" w:hAnsi="Times New Roman" w:eastAsia="方正仿宋_GBK" w:cs="Times New Roman"/>
          <w:color w:val="auto"/>
          <w:spacing w:val="7"/>
          <w:sz w:val="31"/>
          <w:szCs w:val="31"/>
          <w:highlight w:val="none"/>
        </w:rPr>
        <w:t>以外的收入。</w:t>
      </w:r>
      <w:r>
        <w:rPr>
          <w:rFonts w:hint="eastAsia" w:ascii="Times New Roman" w:hAnsi="Times New Roman" w:eastAsia="方正仿宋_GBK" w:cs="Times New Roman"/>
          <w:color w:val="auto"/>
          <w:spacing w:val="7"/>
          <w:sz w:val="31"/>
          <w:szCs w:val="31"/>
          <w:highlight w:val="none"/>
          <w:lang w:eastAsia="zh-CN"/>
        </w:rPr>
        <w:t>桂东县消防救援大队</w:t>
      </w:r>
      <w:r>
        <w:rPr>
          <w:rFonts w:hint="default" w:ascii="Times New Roman" w:hAnsi="Times New Roman" w:eastAsia="方正仿宋_GBK" w:cs="Times New Roman"/>
          <w:color w:val="auto"/>
          <w:spacing w:val="7"/>
          <w:sz w:val="31"/>
          <w:szCs w:val="31"/>
          <w:highlight w:val="none"/>
        </w:rPr>
        <w:t>的其他收入主要是地方政府财</w:t>
      </w:r>
      <w:r>
        <w:rPr>
          <w:rFonts w:hint="default" w:ascii="Times New Roman" w:hAnsi="Times New Roman" w:eastAsia="方正仿宋_GBK" w:cs="Times New Roman"/>
          <w:color w:val="auto"/>
          <w:spacing w:val="6"/>
          <w:sz w:val="31"/>
          <w:szCs w:val="31"/>
          <w:highlight w:val="none"/>
        </w:rPr>
        <w:t>政部门拨付的经费。</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86"/>
        <w:jc w:val="both"/>
        <w:textAlignment w:val="baseline"/>
        <w:rPr>
          <w:rFonts w:hint="default" w:ascii="Times New Roman" w:hAnsi="Times New Roman" w:eastAsia="方正仿宋_GBK" w:cs="Times New Roman"/>
          <w:color w:val="auto"/>
          <w:spacing w:val="2"/>
          <w:sz w:val="31"/>
          <w:szCs w:val="31"/>
          <w:highlight w:val="none"/>
        </w:rPr>
      </w:pPr>
      <w:r>
        <w:rPr>
          <w:rFonts w:hint="default" w:ascii="Times New Roman" w:hAnsi="Times New Roman" w:eastAsia="方正仿宋_GBK" w:cs="Times New Roman"/>
          <w:b/>
          <w:bCs/>
          <w:color w:val="auto"/>
          <w:spacing w:val="2"/>
          <w:sz w:val="31"/>
          <w:szCs w:val="31"/>
          <w:highlight w:val="none"/>
        </w:rPr>
        <w:t>四、年初结转和结余：</w:t>
      </w:r>
      <w:r>
        <w:rPr>
          <w:rFonts w:hint="default" w:ascii="Times New Roman" w:hAnsi="Times New Roman" w:eastAsia="方正仿宋_GBK" w:cs="Times New Roman"/>
          <w:color w:val="auto"/>
          <w:spacing w:val="2"/>
          <w:sz w:val="31"/>
          <w:szCs w:val="31"/>
          <w:highlight w:val="none"/>
        </w:rPr>
        <w:t>指单位以前年度尚未完成、结</w:t>
      </w:r>
      <w:r>
        <w:rPr>
          <w:rFonts w:hint="default" w:ascii="Times New Roman" w:hAnsi="Times New Roman" w:eastAsia="方正仿宋_GBK" w:cs="Times New Roman"/>
          <w:color w:val="auto"/>
          <w:spacing w:val="1"/>
          <w:sz w:val="31"/>
          <w:szCs w:val="31"/>
          <w:highlight w:val="none"/>
        </w:rPr>
        <w:t>转到本</w:t>
      </w:r>
      <w:r>
        <w:rPr>
          <w:rFonts w:hint="default" w:ascii="Times New Roman" w:hAnsi="Times New Roman" w:eastAsia="方正仿宋_GBK" w:cs="Times New Roman"/>
          <w:color w:val="auto"/>
          <w:spacing w:val="5"/>
          <w:sz w:val="31"/>
          <w:szCs w:val="31"/>
          <w:highlight w:val="none"/>
        </w:rPr>
        <w:t>年仍按原规定用途继续使用的资金，或项目已完成等产生的结余</w:t>
      </w:r>
      <w:r>
        <w:rPr>
          <w:rFonts w:hint="default" w:ascii="Times New Roman" w:hAnsi="Times New Roman" w:eastAsia="方正仿宋_GBK" w:cs="Times New Roman"/>
          <w:color w:val="auto"/>
          <w:spacing w:val="-7"/>
          <w:sz w:val="31"/>
          <w:szCs w:val="31"/>
          <w:highlight w:val="none"/>
        </w:rPr>
        <w:t>资金。</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86"/>
        <w:jc w:val="both"/>
        <w:textAlignment w:val="baseline"/>
        <w:rPr>
          <w:rFonts w:hint="default" w:ascii="Times New Roman" w:hAnsi="Times New Roman" w:eastAsia="方正仿宋_GBK" w:cs="Times New Roman"/>
          <w:color w:val="auto"/>
          <w:spacing w:val="2"/>
          <w:sz w:val="31"/>
          <w:szCs w:val="31"/>
          <w:highlight w:val="none"/>
          <w:lang w:eastAsia="zh-CN"/>
        </w:rPr>
      </w:pPr>
      <w:r>
        <w:rPr>
          <w:rFonts w:hint="default" w:ascii="Times New Roman" w:hAnsi="Times New Roman" w:eastAsia="方正仿宋_GBK" w:cs="Times New Roman"/>
          <w:b/>
          <w:bCs/>
          <w:color w:val="auto"/>
          <w:spacing w:val="2"/>
          <w:sz w:val="31"/>
          <w:szCs w:val="31"/>
          <w:highlight w:val="none"/>
          <w:lang w:eastAsia="zh-CN"/>
        </w:rPr>
        <w:t>五、结余分配：</w:t>
      </w:r>
      <w:r>
        <w:rPr>
          <w:rFonts w:hint="default" w:ascii="Times New Roman" w:hAnsi="Times New Roman" w:eastAsia="方正仿宋_GBK" w:cs="Times New Roman"/>
          <w:color w:val="auto"/>
          <w:spacing w:val="2"/>
          <w:sz w:val="31"/>
          <w:szCs w:val="31"/>
          <w:highlight w:val="none"/>
        </w:rPr>
        <w:t>指事业单位按照会计制度规定缴纳的所得税、提取的专用结余以及转入非财政拨款结余的金额等。</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25" w:firstLine="654"/>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lang w:eastAsia="zh-CN"/>
        </w:rPr>
        <w:t>六</w:t>
      </w:r>
      <w:r>
        <w:rPr>
          <w:rFonts w:hint="default" w:ascii="Times New Roman" w:hAnsi="Times New Roman" w:eastAsia="方正仿宋_GBK" w:cs="Times New Roman"/>
          <w:b/>
          <w:bCs/>
          <w:color w:val="auto"/>
          <w:spacing w:val="-4"/>
          <w:sz w:val="31"/>
          <w:szCs w:val="31"/>
          <w:highlight w:val="none"/>
        </w:rPr>
        <w:t>、社会保障和就业支出（类）行政事业单位</w:t>
      </w:r>
      <w:r>
        <w:rPr>
          <w:rFonts w:hint="default" w:ascii="Times New Roman" w:hAnsi="Times New Roman" w:eastAsia="方正仿宋_GBK" w:cs="Times New Roman"/>
          <w:b/>
          <w:bCs/>
          <w:color w:val="auto"/>
          <w:spacing w:val="-5"/>
          <w:sz w:val="31"/>
          <w:szCs w:val="31"/>
          <w:highlight w:val="none"/>
        </w:rPr>
        <w:t>养老支出（款）</w:t>
      </w:r>
      <w:r>
        <w:rPr>
          <w:rFonts w:hint="default" w:ascii="Times New Roman" w:hAnsi="Times New Roman" w:eastAsia="方正仿宋_GBK" w:cs="Times New Roman"/>
          <w:b/>
          <w:bCs/>
          <w:color w:val="auto"/>
          <w:sz w:val="31"/>
          <w:szCs w:val="31"/>
          <w:highlight w:val="none"/>
        </w:rPr>
        <w:t>机关事业单位基本养老保险缴费支出（项</w:t>
      </w:r>
      <w:r>
        <w:rPr>
          <w:rFonts w:hint="default" w:ascii="Times New Roman" w:hAnsi="Times New Roman" w:eastAsia="方正仿宋_GBK" w:cs="Times New Roman"/>
          <w:b/>
          <w:bCs/>
          <w:color w:val="auto"/>
          <w:spacing w:val="-6"/>
          <w:sz w:val="31"/>
          <w:szCs w:val="31"/>
          <w:highlight w:val="none"/>
        </w:rPr>
        <w:t>）：</w:t>
      </w:r>
      <w:r>
        <w:rPr>
          <w:rFonts w:hint="default" w:ascii="Times New Roman" w:hAnsi="Times New Roman" w:eastAsia="方正仿宋_GBK" w:cs="Times New Roman"/>
          <w:color w:val="auto"/>
          <w:sz w:val="31"/>
          <w:szCs w:val="31"/>
          <w:highlight w:val="none"/>
        </w:rPr>
        <w:t>反映机关事业单位</w:t>
      </w:r>
      <w:r>
        <w:rPr>
          <w:rFonts w:hint="default" w:ascii="Times New Roman" w:hAnsi="Times New Roman" w:eastAsia="方正仿宋_GBK" w:cs="Times New Roman"/>
          <w:color w:val="auto"/>
          <w:spacing w:val="8"/>
          <w:sz w:val="31"/>
          <w:szCs w:val="31"/>
          <w:highlight w:val="none"/>
        </w:rPr>
        <w:t>实施养老保险制度由单位缴纳的基本养老保</w:t>
      </w:r>
      <w:r>
        <w:rPr>
          <w:rFonts w:hint="default" w:ascii="Times New Roman" w:hAnsi="Times New Roman" w:eastAsia="方正仿宋_GBK" w:cs="Times New Roman"/>
          <w:color w:val="auto"/>
          <w:spacing w:val="7"/>
          <w:sz w:val="31"/>
          <w:szCs w:val="31"/>
          <w:highlight w:val="none"/>
        </w:rPr>
        <w:t>险费支出。</w:t>
      </w:r>
    </w:p>
    <w:p>
      <w:pPr>
        <w:keepNext w:val="0"/>
        <w:keepLines w:val="0"/>
        <w:pageBreakBefore w:val="0"/>
        <w:widowControl/>
        <w:kinsoku/>
        <w:wordWrap/>
        <w:overflowPunct w:val="0"/>
        <w:topLinePunct w:val="0"/>
        <w:autoSpaceDE w:val="0"/>
        <w:autoSpaceDN w:val="0"/>
        <w:bidi w:val="0"/>
        <w:adjustRightInd w:val="0"/>
        <w:snapToGrid w:val="0"/>
        <w:spacing w:before="2" w:line="600" w:lineRule="exact"/>
        <w:ind w:right="5" w:firstLine="602" w:firstLineChars="200"/>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5"/>
          <w:sz w:val="31"/>
          <w:szCs w:val="31"/>
          <w:highlight w:val="none"/>
          <w:lang w:eastAsia="zh-CN"/>
        </w:rPr>
        <w:t>七</w:t>
      </w:r>
      <w:r>
        <w:rPr>
          <w:rFonts w:hint="default" w:ascii="Times New Roman" w:hAnsi="Times New Roman" w:eastAsia="方正仿宋_GBK" w:cs="Times New Roman"/>
          <w:b/>
          <w:bCs/>
          <w:color w:val="auto"/>
          <w:spacing w:val="-5"/>
          <w:sz w:val="31"/>
          <w:szCs w:val="31"/>
          <w:highlight w:val="none"/>
        </w:rPr>
        <w:t>、社会保障和就业支出（类）行政事业单位养老支出（款）</w:t>
      </w:r>
      <w:r>
        <w:rPr>
          <w:rFonts w:hint="default" w:ascii="Times New Roman" w:hAnsi="Times New Roman" w:eastAsia="方正仿宋_GBK" w:cs="Times New Roman"/>
          <w:b/>
          <w:bCs/>
          <w:color w:val="auto"/>
          <w:spacing w:val="5"/>
          <w:sz w:val="31"/>
          <w:szCs w:val="31"/>
          <w:highlight w:val="none"/>
        </w:rPr>
        <w:t>机关事业单位职业年金缴费支出（项</w:t>
      </w:r>
      <w:r>
        <w:rPr>
          <w:rFonts w:hint="default" w:ascii="Times New Roman" w:hAnsi="Times New Roman" w:eastAsia="方正仿宋_GBK" w:cs="Times New Roman"/>
          <w:b/>
          <w:bCs/>
          <w:color w:val="auto"/>
          <w:spacing w:val="-68"/>
          <w:sz w:val="31"/>
          <w:szCs w:val="31"/>
          <w:highlight w:val="none"/>
        </w:rPr>
        <w:t>）：</w:t>
      </w:r>
      <w:r>
        <w:rPr>
          <w:rFonts w:hint="default" w:ascii="Times New Roman" w:hAnsi="Times New Roman" w:eastAsia="方正仿宋_GBK" w:cs="Times New Roman"/>
          <w:color w:val="auto"/>
          <w:spacing w:val="5"/>
          <w:sz w:val="31"/>
          <w:szCs w:val="31"/>
          <w:highlight w:val="none"/>
        </w:rPr>
        <w:t>反映机关事业单位实施</w:t>
      </w:r>
      <w:r>
        <w:rPr>
          <w:rFonts w:hint="default" w:ascii="Times New Roman" w:hAnsi="Times New Roman" w:eastAsia="方正仿宋_GBK" w:cs="Times New Roman"/>
          <w:color w:val="auto"/>
          <w:spacing w:val="8"/>
          <w:sz w:val="31"/>
          <w:szCs w:val="31"/>
          <w:highlight w:val="none"/>
        </w:rPr>
        <w:t>养老保险制度由单位缴纳的职业年金支出。</w:t>
      </w:r>
    </w:p>
    <w:p>
      <w:pPr>
        <w:keepNext w:val="0"/>
        <w:keepLines w:val="0"/>
        <w:pageBreakBefore w:val="0"/>
        <w:widowControl/>
        <w:kinsoku/>
        <w:wordWrap/>
        <w:overflowPunct w:val="0"/>
        <w:topLinePunct w:val="0"/>
        <w:autoSpaceDE w:val="0"/>
        <w:autoSpaceDN w:val="0"/>
        <w:bidi w:val="0"/>
        <w:adjustRightInd w:val="0"/>
        <w:snapToGrid w:val="0"/>
        <w:spacing w:line="600" w:lineRule="exact"/>
        <w:ind w:right="0" w:firstLine="626" w:firstLineChars="200"/>
        <w:jc w:val="both"/>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八</w:t>
      </w:r>
      <w:r>
        <w:rPr>
          <w:rFonts w:hint="default" w:ascii="Times New Roman" w:hAnsi="Times New Roman" w:eastAsia="方正仿宋_GBK" w:cs="Times New Roman"/>
          <w:b/>
          <w:bCs/>
          <w:color w:val="auto"/>
          <w:spacing w:val="1"/>
          <w:sz w:val="31"/>
          <w:szCs w:val="31"/>
          <w:highlight w:val="none"/>
        </w:rPr>
        <w:t>、卫生健康（类）行政事业单位医疗（款）行政单位医疗</w:t>
      </w:r>
      <w:r>
        <w:rPr>
          <w:rFonts w:hint="default" w:ascii="Times New Roman" w:hAnsi="Times New Roman" w:eastAsia="方正仿宋_GBK" w:cs="Times New Roman"/>
          <w:b/>
          <w:bCs/>
          <w:color w:val="auto"/>
          <w:spacing w:val="5"/>
          <w:sz w:val="31"/>
          <w:szCs w:val="31"/>
          <w:highlight w:val="none"/>
        </w:rPr>
        <w:t>（项</w:t>
      </w:r>
      <w:r>
        <w:rPr>
          <w:rFonts w:hint="default" w:ascii="Times New Roman" w:hAnsi="Times New Roman" w:eastAsia="方正仿宋_GBK" w:cs="Times New Roman"/>
          <w:b/>
          <w:bCs/>
          <w:color w:val="auto"/>
          <w:spacing w:val="3"/>
          <w:sz w:val="31"/>
          <w:szCs w:val="31"/>
          <w:highlight w:val="none"/>
        </w:rPr>
        <w:t>）：</w:t>
      </w:r>
      <w:r>
        <w:rPr>
          <w:rFonts w:hint="default" w:ascii="Times New Roman" w:hAnsi="Times New Roman" w:eastAsia="方正仿宋_GBK" w:cs="Times New Roman"/>
          <w:color w:val="auto"/>
          <w:spacing w:val="5"/>
          <w:sz w:val="31"/>
          <w:szCs w:val="31"/>
          <w:highlight w:val="none"/>
        </w:rPr>
        <w:t>反映财政部门安排的行政单位基本医疗保险缴费经费，</w:t>
      </w:r>
      <w:r>
        <w:rPr>
          <w:rFonts w:hint="default" w:ascii="Times New Roman" w:hAnsi="Times New Roman" w:eastAsia="方正仿宋_GBK" w:cs="Times New Roman"/>
          <w:color w:val="auto"/>
          <w:spacing w:val="6"/>
          <w:sz w:val="31"/>
          <w:szCs w:val="31"/>
          <w:highlight w:val="none"/>
        </w:rPr>
        <w:t>未参加医疗保险的行政单位的公费医疗经费，</w:t>
      </w:r>
      <w:r>
        <w:rPr>
          <w:rFonts w:hint="default" w:ascii="Times New Roman" w:hAnsi="Times New Roman" w:eastAsia="方正仿宋_GBK" w:cs="Times New Roman"/>
          <w:color w:val="auto"/>
          <w:spacing w:val="5"/>
          <w:sz w:val="31"/>
          <w:szCs w:val="31"/>
          <w:highlight w:val="none"/>
        </w:rPr>
        <w:t>按国家规定享受离</w:t>
      </w:r>
      <w:r>
        <w:rPr>
          <w:rFonts w:hint="default" w:ascii="Times New Roman" w:hAnsi="Times New Roman" w:eastAsia="方正仿宋_GBK" w:cs="Times New Roman"/>
          <w:color w:val="auto"/>
          <w:spacing w:val="5"/>
          <w:sz w:val="31"/>
          <w:szCs w:val="31"/>
          <w:highlight w:val="none"/>
          <w:lang w:eastAsia="zh-CN"/>
        </w:rPr>
        <w:t>休人员</w:t>
      </w:r>
      <w:r>
        <w:rPr>
          <w:rFonts w:hint="default" w:ascii="Times New Roman" w:hAnsi="Times New Roman" w:eastAsia="方正仿宋_GBK" w:cs="Times New Roman"/>
          <w:color w:val="auto"/>
          <w:spacing w:val="5"/>
          <w:sz w:val="31"/>
          <w:szCs w:val="31"/>
          <w:highlight w:val="none"/>
        </w:rPr>
        <w:t>、红军老战士待遇人员的医疗经费。</w:t>
      </w:r>
    </w:p>
    <w:p>
      <w:pPr>
        <w:keepNext w:val="0"/>
        <w:keepLines w:val="0"/>
        <w:pageBreakBefore w:val="0"/>
        <w:widowControl/>
        <w:kinsoku/>
        <w:wordWrap/>
        <w:overflowPunct w:val="0"/>
        <w:topLinePunct w:val="0"/>
        <w:autoSpaceDE w:val="0"/>
        <w:autoSpaceDN w:val="0"/>
        <w:bidi w:val="0"/>
        <w:adjustRightInd w:val="0"/>
        <w:snapToGrid w:val="0"/>
        <w:spacing w:line="600" w:lineRule="exact"/>
        <w:ind w:right="170" w:firstLine="626" w:firstLineChars="200"/>
        <w:jc w:val="both"/>
        <w:textAlignment w:val="baseline"/>
        <w:rPr>
          <w:rFonts w:hint="default" w:ascii="Times New Roman" w:hAnsi="Times New Roman" w:eastAsia="方正仿宋_GBK" w:cs="Times New Roman"/>
          <w:color w:val="auto"/>
          <w:spacing w:val="5"/>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九</w:t>
      </w:r>
      <w:r>
        <w:rPr>
          <w:rFonts w:hint="default" w:ascii="Times New Roman" w:hAnsi="Times New Roman" w:eastAsia="方正仿宋_GBK" w:cs="Times New Roman"/>
          <w:b/>
          <w:bCs/>
          <w:color w:val="auto"/>
          <w:spacing w:val="1"/>
          <w:sz w:val="31"/>
          <w:szCs w:val="31"/>
          <w:highlight w:val="none"/>
        </w:rPr>
        <w:t>、卫生健康（类）行政事业单位医疗（款）公务员医疗补</w:t>
      </w:r>
      <w:r>
        <w:rPr>
          <w:rFonts w:hint="default" w:ascii="Times New Roman" w:hAnsi="Times New Roman" w:eastAsia="方正仿宋_GBK" w:cs="Times New Roman"/>
          <w:b/>
          <w:bCs/>
          <w:color w:val="auto"/>
          <w:spacing w:val="5"/>
          <w:sz w:val="31"/>
          <w:szCs w:val="31"/>
          <w:highlight w:val="none"/>
        </w:rPr>
        <w:t>助（项</w:t>
      </w:r>
      <w:r>
        <w:rPr>
          <w:rFonts w:hint="default" w:ascii="Times New Roman" w:hAnsi="Times New Roman" w:eastAsia="方正仿宋_GBK" w:cs="Times New Roman"/>
          <w:b/>
          <w:bCs/>
          <w:color w:val="auto"/>
          <w:spacing w:val="33"/>
          <w:sz w:val="31"/>
          <w:szCs w:val="31"/>
          <w:highlight w:val="none"/>
        </w:rPr>
        <w:t>）：</w:t>
      </w:r>
      <w:r>
        <w:rPr>
          <w:rFonts w:hint="default" w:ascii="Times New Roman" w:hAnsi="Times New Roman" w:eastAsia="方正仿宋_GBK" w:cs="Times New Roman"/>
          <w:color w:val="auto"/>
          <w:spacing w:val="5"/>
          <w:sz w:val="31"/>
          <w:szCs w:val="31"/>
          <w:highlight w:val="none"/>
        </w:rPr>
        <w:t>反映财政部门安排的公务员医疗补助经费。</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pacing w:val="4"/>
          <w:sz w:val="31"/>
          <w:szCs w:val="31"/>
          <w:highlight w:val="none"/>
        </w:rPr>
      </w:pPr>
      <w:r>
        <w:rPr>
          <w:rFonts w:hint="default" w:ascii="Times New Roman" w:hAnsi="Times New Roman" w:eastAsia="方正仿宋_GBK" w:cs="Times New Roman"/>
          <w:b/>
          <w:bCs/>
          <w:color w:val="auto"/>
          <w:spacing w:val="1"/>
          <w:sz w:val="31"/>
          <w:szCs w:val="31"/>
          <w:highlight w:val="none"/>
          <w:lang w:eastAsia="zh-CN"/>
        </w:rPr>
        <w:t>十</w:t>
      </w:r>
      <w:r>
        <w:rPr>
          <w:rFonts w:hint="default" w:ascii="Times New Roman" w:hAnsi="Times New Roman" w:eastAsia="方正仿宋_GBK" w:cs="Times New Roman"/>
          <w:b/>
          <w:bCs/>
          <w:color w:val="auto"/>
          <w:spacing w:val="1"/>
          <w:sz w:val="31"/>
          <w:szCs w:val="31"/>
          <w:highlight w:val="none"/>
        </w:rPr>
        <w:t>、卫生健康（类）行政事业单位医疗（款）其他行政事业</w:t>
      </w:r>
      <w:r>
        <w:rPr>
          <w:rFonts w:hint="default" w:ascii="Times New Roman" w:hAnsi="Times New Roman" w:eastAsia="方正仿宋_GBK" w:cs="Times New Roman"/>
          <w:b/>
          <w:bCs/>
          <w:color w:val="auto"/>
          <w:spacing w:val="4"/>
          <w:sz w:val="31"/>
          <w:szCs w:val="31"/>
          <w:highlight w:val="none"/>
        </w:rPr>
        <w:t>单位医疗支出（项</w:t>
      </w:r>
      <w:r>
        <w:rPr>
          <w:rFonts w:hint="default" w:ascii="Times New Roman" w:hAnsi="Times New Roman" w:eastAsia="方正仿宋_GBK" w:cs="Times New Roman"/>
          <w:b/>
          <w:bCs/>
          <w:color w:val="auto"/>
          <w:spacing w:val="-50"/>
          <w:sz w:val="31"/>
          <w:szCs w:val="31"/>
          <w:highlight w:val="none"/>
        </w:rPr>
        <w:t>）：</w:t>
      </w:r>
      <w:r>
        <w:rPr>
          <w:rFonts w:hint="default" w:ascii="Times New Roman" w:hAnsi="Times New Roman" w:eastAsia="方正仿宋_GBK" w:cs="Times New Roman"/>
          <w:color w:val="auto"/>
          <w:spacing w:val="4"/>
          <w:sz w:val="31"/>
          <w:szCs w:val="31"/>
          <w:highlight w:val="none"/>
        </w:rPr>
        <w:t>反映国家综合性消防救援队伍在医疗经费之外保障的医疗费支出。</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pacing w:val="7"/>
          <w:sz w:val="31"/>
          <w:szCs w:val="31"/>
          <w:highlight w:val="none"/>
        </w:rPr>
      </w:pP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一</w:t>
      </w:r>
      <w:r>
        <w:rPr>
          <w:rFonts w:hint="default" w:ascii="Times New Roman" w:hAnsi="Times New Roman" w:eastAsia="方正仿宋_GBK" w:cs="Times New Roman"/>
          <w:b/>
          <w:bCs/>
          <w:color w:val="auto"/>
          <w:spacing w:val="-4"/>
          <w:sz w:val="31"/>
          <w:szCs w:val="31"/>
          <w:highlight w:val="none"/>
        </w:rPr>
        <w:t>、住房保障（类）住房改革支出（款）住房公积金（项</w:t>
      </w:r>
      <w:r>
        <w:rPr>
          <w:rFonts w:hint="default" w:ascii="Times New Roman" w:hAnsi="Times New Roman" w:eastAsia="方正仿宋_GBK" w:cs="Times New Roman"/>
          <w:b/>
          <w:bCs/>
          <w:color w:val="auto"/>
          <w:spacing w:val="-48"/>
          <w:sz w:val="31"/>
          <w:szCs w:val="31"/>
          <w:highlight w:val="none"/>
        </w:rPr>
        <w:t>）</w:t>
      </w:r>
      <w:r>
        <w:rPr>
          <w:rFonts w:hint="default" w:ascii="Times New Roman" w:hAnsi="Times New Roman" w:eastAsia="方正仿宋_GBK" w:cs="Times New Roman"/>
          <w:color w:val="auto"/>
          <w:spacing w:val="5"/>
          <w:sz w:val="31"/>
          <w:szCs w:val="31"/>
          <w:highlight w:val="none"/>
        </w:rPr>
        <w:t>反映行政事业单位按人力资源和社会保障部、财政部规定的基本</w:t>
      </w:r>
      <w:r>
        <w:rPr>
          <w:rFonts w:hint="default" w:ascii="Times New Roman" w:hAnsi="Times New Roman" w:eastAsia="方正仿宋_GBK" w:cs="Times New Roman"/>
          <w:color w:val="auto"/>
          <w:spacing w:val="7"/>
          <w:sz w:val="31"/>
          <w:szCs w:val="31"/>
          <w:highlight w:val="none"/>
        </w:rPr>
        <w:t>工资和津贴补贴以及规定比例为职工缴纳的住房公积金。</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24"/>
          <w:sz w:val="31"/>
          <w:szCs w:val="31"/>
          <w:highlight w:val="none"/>
        </w:rPr>
        <w:t>十</w:t>
      </w:r>
      <w:r>
        <w:rPr>
          <w:rFonts w:hint="default" w:ascii="Times New Roman" w:hAnsi="Times New Roman" w:eastAsia="方正仿宋_GBK" w:cs="Times New Roman"/>
          <w:b/>
          <w:bCs/>
          <w:color w:val="auto"/>
          <w:spacing w:val="-24"/>
          <w:sz w:val="31"/>
          <w:szCs w:val="31"/>
          <w:highlight w:val="none"/>
          <w:lang w:eastAsia="zh-CN"/>
        </w:rPr>
        <w:t>二</w:t>
      </w:r>
      <w:r>
        <w:rPr>
          <w:rFonts w:hint="default" w:ascii="Times New Roman" w:hAnsi="Times New Roman" w:eastAsia="方正仿宋_GBK" w:cs="Times New Roman"/>
          <w:b/>
          <w:bCs/>
          <w:color w:val="auto"/>
          <w:spacing w:val="-24"/>
          <w:sz w:val="31"/>
          <w:szCs w:val="31"/>
          <w:highlight w:val="none"/>
        </w:rPr>
        <w:t>、住房保障支出（类）住房改革支出（款）提租补贴（项</w:t>
      </w:r>
      <w:r>
        <w:rPr>
          <w:rFonts w:hint="default" w:ascii="Times New Roman" w:hAnsi="Times New Roman" w:eastAsia="方正仿宋_GBK" w:cs="Times New Roman"/>
          <w:b/>
          <w:bCs/>
          <w:color w:val="auto"/>
          <w:spacing w:val="-87"/>
          <w:sz w:val="31"/>
          <w:szCs w:val="31"/>
          <w:highlight w:val="none"/>
        </w:rPr>
        <w:t>）：</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hanging="22"/>
        <w:jc w:val="both"/>
        <w:textAlignment w:val="baseline"/>
        <w:rPr>
          <w:rFonts w:hint="default" w:ascii="Times New Roman" w:hAnsi="Times New Roman" w:eastAsia="方正仿宋_GBK" w:cs="Times New Roman"/>
          <w:color w:val="auto"/>
          <w:spacing w:val="2"/>
          <w:sz w:val="31"/>
          <w:szCs w:val="31"/>
          <w:highlight w:val="none"/>
        </w:rPr>
      </w:pPr>
      <w:r>
        <w:rPr>
          <w:rFonts w:hint="default" w:ascii="Times New Roman" w:hAnsi="Times New Roman" w:eastAsia="方正仿宋_GBK" w:cs="Times New Roman"/>
          <w:color w:val="auto"/>
          <w:spacing w:val="5"/>
          <w:sz w:val="31"/>
          <w:szCs w:val="31"/>
          <w:highlight w:val="none"/>
        </w:rPr>
        <w:t>反映按房改政策规定的标准，行政事业单位向职工（含离</w:t>
      </w:r>
      <w:r>
        <w:rPr>
          <w:rFonts w:hint="default" w:ascii="Times New Roman" w:hAnsi="Times New Roman" w:eastAsia="方正仿宋_GBK" w:cs="Times New Roman"/>
          <w:color w:val="auto"/>
          <w:spacing w:val="4"/>
          <w:sz w:val="31"/>
          <w:szCs w:val="31"/>
          <w:highlight w:val="none"/>
        </w:rPr>
        <w:t>退休人</w:t>
      </w:r>
      <w:r>
        <w:rPr>
          <w:rFonts w:hint="default" w:ascii="Times New Roman" w:hAnsi="Times New Roman" w:eastAsia="方正仿宋_GBK" w:cs="Times New Roman"/>
          <w:color w:val="auto"/>
          <w:spacing w:val="2"/>
          <w:sz w:val="31"/>
          <w:szCs w:val="31"/>
          <w:highlight w:val="none"/>
        </w:rPr>
        <w:t>员）发放的租金补贴。</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0" w:right="0" w:firstLine="64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4"/>
          <w:sz w:val="31"/>
          <w:szCs w:val="31"/>
          <w:highlight w:val="none"/>
        </w:rPr>
        <w:t>十</w:t>
      </w:r>
      <w:r>
        <w:rPr>
          <w:rFonts w:hint="default" w:ascii="Times New Roman" w:hAnsi="Times New Roman" w:eastAsia="方正仿宋_GBK" w:cs="Times New Roman"/>
          <w:b/>
          <w:bCs/>
          <w:color w:val="auto"/>
          <w:spacing w:val="-4"/>
          <w:sz w:val="31"/>
          <w:szCs w:val="31"/>
          <w:highlight w:val="none"/>
          <w:lang w:eastAsia="zh-CN"/>
        </w:rPr>
        <w:t>三</w:t>
      </w:r>
      <w:r>
        <w:rPr>
          <w:rFonts w:hint="default" w:ascii="Times New Roman" w:hAnsi="Times New Roman" w:eastAsia="方正仿宋_GBK" w:cs="Times New Roman"/>
          <w:b/>
          <w:bCs/>
          <w:color w:val="auto"/>
          <w:spacing w:val="-4"/>
          <w:sz w:val="31"/>
          <w:szCs w:val="31"/>
          <w:highlight w:val="none"/>
        </w:rPr>
        <w:t>、住房保障（类）住房改革支出（款）购房补贴（项</w:t>
      </w:r>
      <w:r>
        <w:rPr>
          <w:rFonts w:hint="default" w:ascii="Times New Roman" w:hAnsi="Times New Roman" w:eastAsia="方正仿宋_GBK" w:cs="Times New Roman"/>
          <w:b/>
          <w:bCs/>
          <w:color w:val="auto"/>
          <w:spacing w:val="-48"/>
          <w:sz w:val="31"/>
          <w:szCs w:val="31"/>
          <w:highlight w:val="none"/>
        </w:rPr>
        <w:t>）：</w:t>
      </w:r>
      <w:r>
        <w:rPr>
          <w:rFonts w:hint="default" w:ascii="Times New Roman" w:hAnsi="Times New Roman" w:eastAsia="方正仿宋_GBK" w:cs="Times New Roman"/>
          <w:color w:val="auto"/>
          <w:spacing w:val="5"/>
          <w:sz w:val="31"/>
          <w:szCs w:val="31"/>
          <w:highlight w:val="none"/>
        </w:rPr>
        <w:t>反映按房改政策规定，行政事业单位向符合条件职工（含</w:t>
      </w:r>
      <w:r>
        <w:rPr>
          <w:rFonts w:hint="default" w:ascii="Times New Roman" w:hAnsi="Times New Roman" w:eastAsia="方正仿宋_GBK" w:cs="Times New Roman"/>
          <w:color w:val="auto"/>
          <w:spacing w:val="4"/>
          <w:sz w:val="31"/>
          <w:szCs w:val="31"/>
          <w:highlight w:val="none"/>
        </w:rPr>
        <w:t>离退休</w:t>
      </w:r>
      <w:r>
        <w:rPr>
          <w:rFonts w:hint="default" w:ascii="Times New Roman" w:hAnsi="Times New Roman" w:eastAsia="方正仿宋_GBK" w:cs="Times New Roman"/>
          <w:color w:val="auto"/>
          <w:spacing w:val="7"/>
          <w:sz w:val="31"/>
          <w:szCs w:val="31"/>
          <w:highlight w:val="none"/>
        </w:rPr>
        <w:t>人员）发放的用于购买住房的补贴。</w:t>
      </w:r>
    </w:p>
    <w:p>
      <w:pPr>
        <w:keepNext w:val="0"/>
        <w:keepLines w:val="0"/>
        <w:pageBreakBefore w:val="0"/>
        <w:widowControl/>
        <w:kinsoku/>
        <w:wordWrap/>
        <w:overflowPunct w:val="0"/>
        <w:topLinePunct w:val="0"/>
        <w:autoSpaceDE w:val="0"/>
        <w:autoSpaceDN w:val="0"/>
        <w:bidi w:val="0"/>
        <w:adjustRightInd w:val="0"/>
        <w:snapToGrid w:val="0"/>
        <w:spacing w:before="5" w:line="600" w:lineRule="exact"/>
        <w:ind w:left="1" w:right="154" w:firstLine="655"/>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1"/>
          <w:sz w:val="31"/>
          <w:szCs w:val="31"/>
          <w:highlight w:val="none"/>
        </w:rPr>
        <w:t>十</w:t>
      </w:r>
      <w:r>
        <w:rPr>
          <w:rFonts w:hint="default" w:ascii="Times New Roman" w:hAnsi="Times New Roman" w:eastAsia="方正仿宋_GBK" w:cs="Times New Roman"/>
          <w:b/>
          <w:bCs/>
          <w:color w:val="auto"/>
          <w:spacing w:val="1"/>
          <w:sz w:val="31"/>
          <w:szCs w:val="31"/>
          <w:highlight w:val="none"/>
          <w:lang w:eastAsia="zh-CN"/>
        </w:rPr>
        <w:t>四</w:t>
      </w:r>
      <w:r>
        <w:rPr>
          <w:rFonts w:hint="default" w:ascii="Times New Roman" w:hAnsi="Times New Roman" w:eastAsia="方正仿宋_GBK" w:cs="Times New Roman"/>
          <w:b/>
          <w:bCs/>
          <w:color w:val="auto"/>
          <w:spacing w:val="1"/>
          <w:sz w:val="31"/>
          <w:szCs w:val="31"/>
          <w:highlight w:val="none"/>
        </w:rPr>
        <w:t>、粮油物资储备支出（类）重要商品储备（款）</w:t>
      </w:r>
      <w:r>
        <w:rPr>
          <w:rFonts w:hint="default" w:ascii="Times New Roman" w:hAnsi="Times New Roman" w:eastAsia="方正仿宋_GBK" w:cs="Times New Roman"/>
          <w:b/>
          <w:bCs/>
          <w:color w:val="auto"/>
          <w:sz w:val="31"/>
          <w:szCs w:val="31"/>
          <w:highlight w:val="none"/>
        </w:rPr>
        <w:t>应急物</w:t>
      </w:r>
      <w:r>
        <w:rPr>
          <w:rFonts w:hint="default" w:ascii="Times New Roman" w:hAnsi="Times New Roman" w:eastAsia="方正仿宋_GBK" w:cs="Times New Roman"/>
          <w:b/>
          <w:bCs/>
          <w:color w:val="auto"/>
          <w:spacing w:val="5"/>
          <w:sz w:val="31"/>
          <w:szCs w:val="31"/>
          <w:highlight w:val="none"/>
        </w:rPr>
        <w:t>资储备（项</w:t>
      </w:r>
      <w:r>
        <w:rPr>
          <w:rFonts w:hint="default" w:ascii="Times New Roman" w:hAnsi="Times New Roman" w:eastAsia="方正仿宋_GBK" w:cs="Times New Roman"/>
          <w:b/>
          <w:bCs/>
          <w:color w:val="auto"/>
          <w:spacing w:val="-64"/>
          <w:sz w:val="31"/>
          <w:szCs w:val="31"/>
          <w:highlight w:val="none"/>
        </w:rPr>
        <w:t>）：</w:t>
      </w:r>
      <w:r>
        <w:rPr>
          <w:rFonts w:hint="default" w:ascii="Times New Roman" w:hAnsi="Times New Roman" w:eastAsia="方正仿宋_GBK" w:cs="Times New Roman"/>
          <w:color w:val="auto"/>
          <w:spacing w:val="5"/>
          <w:sz w:val="31"/>
          <w:szCs w:val="31"/>
          <w:highlight w:val="none"/>
        </w:rPr>
        <w:t>反映用于救灾物资、防汛抗旱物资等应急物资储</w:t>
      </w:r>
      <w:r>
        <w:rPr>
          <w:rFonts w:hint="default" w:ascii="Times New Roman" w:hAnsi="Times New Roman" w:eastAsia="方正仿宋_GBK" w:cs="Times New Roman"/>
          <w:color w:val="auto"/>
          <w:spacing w:val="14"/>
          <w:sz w:val="31"/>
          <w:szCs w:val="31"/>
          <w:highlight w:val="none"/>
        </w:rPr>
        <w:t>备的支出。国家综合性消防救援队伍主要用于补充执</w:t>
      </w:r>
      <w:r>
        <w:rPr>
          <w:rFonts w:hint="default" w:ascii="Times New Roman" w:hAnsi="Times New Roman" w:eastAsia="方正仿宋_GBK" w:cs="Times New Roman"/>
          <w:color w:val="auto"/>
          <w:spacing w:val="13"/>
          <w:sz w:val="31"/>
          <w:szCs w:val="31"/>
          <w:highlight w:val="none"/>
        </w:rPr>
        <w:t>行灭火救</w:t>
      </w:r>
      <w:r>
        <w:rPr>
          <w:rFonts w:hint="default" w:ascii="Times New Roman" w:hAnsi="Times New Roman" w:eastAsia="方正仿宋_GBK" w:cs="Times New Roman"/>
          <w:color w:val="auto"/>
          <w:spacing w:val="8"/>
          <w:sz w:val="31"/>
          <w:szCs w:val="31"/>
          <w:highlight w:val="none"/>
        </w:rPr>
        <w:t>援、抗洪抢险、地震救援等任务的物资储备支出。</w:t>
      </w:r>
    </w:p>
    <w:p>
      <w:pPr>
        <w:keepNext w:val="0"/>
        <w:keepLines w:val="0"/>
        <w:pageBreakBefore w:val="0"/>
        <w:widowControl/>
        <w:kinsoku/>
        <w:wordWrap/>
        <w:overflowPunct w:val="0"/>
        <w:topLinePunct w:val="0"/>
        <w:autoSpaceDE w:val="0"/>
        <w:autoSpaceDN w:val="0"/>
        <w:bidi w:val="0"/>
        <w:adjustRightInd w:val="0"/>
        <w:snapToGrid w:val="0"/>
        <w:spacing w:before="3" w:line="600" w:lineRule="exact"/>
        <w:ind w:left="1" w:firstLine="655"/>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五</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行政运行（项</w:t>
      </w:r>
      <w:r>
        <w:rPr>
          <w:rFonts w:hint="default" w:ascii="Times New Roman" w:hAnsi="Times New Roman" w:eastAsia="方正仿宋_GBK" w:cs="Times New Roman"/>
          <w:b/>
          <w:bCs/>
          <w:color w:val="auto"/>
          <w:spacing w:val="-63"/>
          <w:sz w:val="31"/>
          <w:szCs w:val="31"/>
          <w:highlight w:val="none"/>
        </w:rPr>
        <w:t>）：</w:t>
      </w:r>
      <w:r>
        <w:rPr>
          <w:rFonts w:hint="default" w:ascii="Times New Roman" w:hAnsi="Times New Roman" w:eastAsia="方正仿宋_GBK" w:cs="Times New Roman"/>
          <w:color w:val="auto"/>
          <w:spacing w:val="5"/>
          <w:sz w:val="31"/>
          <w:szCs w:val="31"/>
          <w:highlight w:val="none"/>
        </w:rPr>
        <w:t>反映行政单位的基本支出。国家综合性消防救</w:t>
      </w:r>
      <w:r>
        <w:rPr>
          <w:rFonts w:hint="default" w:ascii="Times New Roman" w:hAnsi="Times New Roman" w:eastAsia="方正仿宋_GBK" w:cs="Times New Roman"/>
          <w:color w:val="auto"/>
          <w:spacing w:val="9"/>
          <w:sz w:val="31"/>
          <w:szCs w:val="31"/>
          <w:highlight w:val="none"/>
        </w:rPr>
        <w:t>援队伍用于保障机构正常运行、开展日常工作</w:t>
      </w:r>
      <w:r>
        <w:rPr>
          <w:rFonts w:hint="default" w:ascii="Times New Roman" w:hAnsi="Times New Roman" w:eastAsia="方正仿宋_GBK" w:cs="Times New Roman"/>
          <w:color w:val="auto"/>
          <w:spacing w:val="8"/>
          <w:sz w:val="31"/>
          <w:szCs w:val="31"/>
          <w:highlight w:val="none"/>
        </w:rPr>
        <w:t>的基本支出。</w:t>
      </w:r>
    </w:p>
    <w:p>
      <w:pPr>
        <w:keepNext w:val="0"/>
        <w:keepLines w:val="0"/>
        <w:pageBreakBefore w:val="0"/>
        <w:widowControl/>
        <w:kinsoku/>
        <w:wordWrap/>
        <w:overflowPunct w:val="0"/>
        <w:topLinePunct w:val="0"/>
        <w:autoSpaceDE w:val="0"/>
        <w:autoSpaceDN w:val="0"/>
        <w:bidi w:val="0"/>
        <w:adjustRightInd w:val="0"/>
        <w:snapToGrid w:val="0"/>
        <w:spacing w:before="3" w:line="600" w:lineRule="exact"/>
        <w:ind w:left="5" w:firstLine="651"/>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六</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5"/>
          <w:sz w:val="31"/>
          <w:szCs w:val="31"/>
          <w:highlight w:val="none"/>
        </w:rPr>
        <w:t>消防应急救援（项</w:t>
      </w:r>
      <w:r>
        <w:rPr>
          <w:rFonts w:hint="default" w:ascii="Times New Roman" w:hAnsi="Times New Roman" w:eastAsia="方正仿宋_GBK" w:cs="Times New Roman"/>
          <w:b/>
          <w:bCs/>
          <w:color w:val="auto"/>
          <w:spacing w:val="38"/>
          <w:sz w:val="31"/>
          <w:szCs w:val="31"/>
          <w:highlight w:val="none"/>
        </w:rPr>
        <w:t>）：</w:t>
      </w:r>
      <w:r>
        <w:rPr>
          <w:rFonts w:hint="default" w:ascii="Times New Roman" w:hAnsi="Times New Roman" w:eastAsia="方正仿宋_GBK" w:cs="Times New Roman"/>
          <w:color w:val="auto"/>
          <w:spacing w:val="5"/>
          <w:sz w:val="31"/>
          <w:szCs w:val="31"/>
          <w:highlight w:val="none"/>
        </w:rPr>
        <w:t>反映国家综合性消防救援队</w:t>
      </w:r>
      <w:r>
        <w:rPr>
          <w:rFonts w:hint="default" w:ascii="Times New Roman" w:hAnsi="Times New Roman" w:eastAsia="方正仿宋_GBK" w:cs="Times New Roman"/>
          <w:color w:val="auto"/>
          <w:spacing w:val="4"/>
          <w:sz w:val="31"/>
          <w:szCs w:val="31"/>
          <w:highlight w:val="none"/>
        </w:rPr>
        <w:t>伍装备购置、</w:t>
      </w:r>
      <w:r>
        <w:rPr>
          <w:rFonts w:hint="default" w:ascii="Times New Roman" w:hAnsi="Times New Roman" w:eastAsia="方正仿宋_GBK" w:cs="Times New Roman"/>
          <w:color w:val="auto"/>
          <w:spacing w:val="7"/>
          <w:sz w:val="31"/>
          <w:szCs w:val="31"/>
          <w:highlight w:val="none"/>
        </w:rPr>
        <w:t>基础设施及运行维护等方面的支出。</w:t>
      </w:r>
    </w:p>
    <w:p>
      <w:pPr>
        <w:keepNext w:val="0"/>
        <w:keepLines w:val="0"/>
        <w:pageBreakBefore w:val="0"/>
        <w:widowControl/>
        <w:kinsoku/>
        <w:wordWrap/>
        <w:overflowPunct w:val="0"/>
        <w:topLinePunct w:val="0"/>
        <w:autoSpaceDE w:val="0"/>
        <w:autoSpaceDN w:val="0"/>
        <w:bidi w:val="0"/>
        <w:adjustRightInd/>
        <w:snapToGrid w:val="0"/>
        <w:spacing w:line="600" w:lineRule="exact"/>
        <w:ind w:left="0" w:right="0" w:firstLine="656"/>
        <w:jc w:val="both"/>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7"/>
          <w:sz w:val="31"/>
          <w:szCs w:val="31"/>
          <w:highlight w:val="none"/>
        </w:rPr>
        <w:t>十</w:t>
      </w:r>
      <w:r>
        <w:rPr>
          <w:rFonts w:hint="default" w:ascii="Times New Roman" w:hAnsi="Times New Roman" w:eastAsia="方正仿宋_GBK" w:cs="Times New Roman"/>
          <w:b/>
          <w:bCs/>
          <w:color w:val="auto"/>
          <w:spacing w:val="7"/>
          <w:sz w:val="31"/>
          <w:szCs w:val="31"/>
          <w:highlight w:val="none"/>
          <w:lang w:eastAsia="zh-CN"/>
        </w:rPr>
        <w:t>七</w:t>
      </w:r>
      <w:r>
        <w:rPr>
          <w:rFonts w:hint="default" w:ascii="Times New Roman" w:hAnsi="Times New Roman" w:eastAsia="方正仿宋_GBK" w:cs="Times New Roman"/>
          <w:b/>
          <w:bCs/>
          <w:color w:val="auto"/>
          <w:spacing w:val="7"/>
          <w:sz w:val="31"/>
          <w:szCs w:val="31"/>
          <w:highlight w:val="none"/>
        </w:rPr>
        <w:t>、灾害防治及应急管理支出（类）消防救援事务</w:t>
      </w:r>
      <w:r>
        <w:rPr>
          <w:rFonts w:hint="default" w:ascii="Times New Roman" w:hAnsi="Times New Roman" w:eastAsia="方正仿宋_GBK" w:cs="Times New Roman"/>
          <w:b/>
          <w:bCs/>
          <w:color w:val="auto"/>
          <w:spacing w:val="6"/>
          <w:sz w:val="31"/>
          <w:szCs w:val="31"/>
          <w:highlight w:val="none"/>
        </w:rPr>
        <w:t>（款）</w:t>
      </w:r>
      <w:r>
        <w:rPr>
          <w:rFonts w:hint="default" w:ascii="Times New Roman" w:hAnsi="Times New Roman" w:eastAsia="方正仿宋_GBK" w:cs="Times New Roman"/>
          <w:b/>
          <w:bCs/>
          <w:color w:val="auto"/>
          <w:spacing w:val="1"/>
          <w:sz w:val="31"/>
          <w:szCs w:val="31"/>
          <w:highlight w:val="none"/>
        </w:rPr>
        <w:t>其他消防救援事务支出（项</w:t>
      </w:r>
      <w:r>
        <w:rPr>
          <w:rFonts w:hint="default" w:ascii="Times New Roman" w:hAnsi="Times New Roman" w:eastAsia="方正仿宋_GBK" w:cs="Times New Roman"/>
          <w:b/>
          <w:bCs/>
          <w:color w:val="auto"/>
          <w:spacing w:val="-12"/>
          <w:sz w:val="31"/>
          <w:szCs w:val="31"/>
          <w:highlight w:val="none"/>
        </w:rPr>
        <w:t>）：</w:t>
      </w:r>
      <w:r>
        <w:rPr>
          <w:rFonts w:hint="default" w:ascii="Times New Roman" w:hAnsi="Times New Roman" w:eastAsia="方正仿宋_GBK" w:cs="Times New Roman"/>
          <w:color w:val="auto"/>
          <w:spacing w:val="1"/>
          <w:sz w:val="31"/>
          <w:szCs w:val="31"/>
          <w:highlight w:val="none"/>
        </w:rPr>
        <w:t>反映国家综合性消防救援队伍的</w:t>
      </w:r>
      <w:r>
        <w:rPr>
          <w:rFonts w:hint="default" w:ascii="Times New Roman" w:hAnsi="Times New Roman" w:eastAsia="方正仿宋_GBK" w:cs="Times New Roman"/>
          <w:color w:val="auto"/>
          <w:spacing w:val="2"/>
          <w:sz w:val="31"/>
          <w:szCs w:val="31"/>
          <w:highlight w:val="none"/>
        </w:rPr>
        <w:t>财政机动费支出。</w:t>
      </w:r>
    </w:p>
    <w:p>
      <w:pPr>
        <w:keepNext w:val="0"/>
        <w:keepLines w:val="0"/>
        <w:pageBreakBefore w:val="0"/>
        <w:widowControl/>
        <w:kinsoku/>
        <w:wordWrap/>
        <w:overflowPunct w:val="0"/>
        <w:topLinePunct w:val="0"/>
        <w:autoSpaceDE w:val="0"/>
        <w:autoSpaceDN w:val="0"/>
        <w:bidi w:val="0"/>
        <w:adjustRightInd/>
        <w:snapToGrid w:val="0"/>
        <w:spacing w:line="600" w:lineRule="exact"/>
        <w:ind w:left="0" w:right="0" w:firstLine="646"/>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八</w:t>
      </w:r>
      <w:r>
        <w:rPr>
          <w:rFonts w:hint="default" w:ascii="Times New Roman" w:hAnsi="Times New Roman" w:eastAsia="方正仿宋_GBK" w:cs="Times New Roman"/>
          <w:b/>
          <w:bCs/>
          <w:color w:val="auto"/>
          <w:spacing w:val="3"/>
          <w:sz w:val="31"/>
          <w:szCs w:val="31"/>
          <w:highlight w:val="none"/>
        </w:rPr>
        <w:t>、年末结转和结余：</w:t>
      </w:r>
      <w:r>
        <w:rPr>
          <w:rFonts w:hint="default" w:ascii="Times New Roman" w:hAnsi="Times New Roman" w:eastAsia="方正仿宋_GBK" w:cs="Times New Roman"/>
          <w:color w:val="auto"/>
          <w:spacing w:val="3"/>
          <w:sz w:val="31"/>
          <w:szCs w:val="31"/>
          <w:highlight w:val="none"/>
        </w:rPr>
        <w:t>指单位按有关规定结转</w:t>
      </w:r>
      <w:r>
        <w:rPr>
          <w:rFonts w:hint="default" w:ascii="Times New Roman" w:hAnsi="Times New Roman" w:eastAsia="方正仿宋_GBK" w:cs="Times New Roman"/>
          <w:color w:val="auto"/>
          <w:spacing w:val="2"/>
          <w:sz w:val="31"/>
          <w:szCs w:val="31"/>
          <w:highlight w:val="none"/>
        </w:rPr>
        <w:t>到下年度继</w:t>
      </w:r>
      <w:r>
        <w:rPr>
          <w:rFonts w:hint="default" w:ascii="Times New Roman" w:hAnsi="Times New Roman" w:eastAsia="方正仿宋_GBK" w:cs="Times New Roman"/>
          <w:color w:val="auto"/>
          <w:spacing w:val="6"/>
          <w:sz w:val="31"/>
          <w:szCs w:val="31"/>
          <w:highlight w:val="none"/>
        </w:rPr>
        <w:t>续使用的资金，或项目已完成等产生的结余资金。</w:t>
      </w:r>
    </w:p>
    <w:p>
      <w:pPr>
        <w:keepNext w:val="0"/>
        <w:keepLines w:val="0"/>
        <w:pageBreakBefore w:val="0"/>
        <w:widowControl/>
        <w:kinsoku/>
        <w:wordWrap/>
        <w:overflowPunct w:val="0"/>
        <w:topLinePunct w:val="0"/>
        <w:autoSpaceDE w:val="0"/>
        <w:autoSpaceDN w:val="0"/>
        <w:bidi w:val="0"/>
        <w:adjustRightInd w:val="0"/>
        <w:snapToGrid w:val="0"/>
        <w:spacing w:line="600" w:lineRule="exact"/>
        <w:ind w:left="6" w:right="76" w:firstLine="648"/>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rPr>
        <w:t>十</w:t>
      </w:r>
      <w:r>
        <w:rPr>
          <w:rFonts w:hint="default" w:ascii="Times New Roman" w:hAnsi="Times New Roman" w:eastAsia="方正仿宋_GBK" w:cs="Times New Roman"/>
          <w:b/>
          <w:bCs/>
          <w:color w:val="auto"/>
          <w:spacing w:val="3"/>
          <w:sz w:val="31"/>
          <w:szCs w:val="31"/>
          <w:highlight w:val="none"/>
          <w:lang w:eastAsia="zh-CN"/>
        </w:rPr>
        <w:t>九</w:t>
      </w:r>
      <w:r>
        <w:rPr>
          <w:rFonts w:hint="default" w:ascii="Times New Roman" w:hAnsi="Times New Roman" w:eastAsia="方正仿宋_GBK" w:cs="Times New Roman"/>
          <w:b/>
          <w:bCs/>
          <w:color w:val="auto"/>
          <w:spacing w:val="3"/>
          <w:sz w:val="31"/>
          <w:szCs w:val="31"/>
          <w:highlight w:val="none"/>
        </w:rPr>
        <w:t>、基本支出：</w:t>
      </w:r>
      <w:r>
        <w:rPr>
          <w:rFonts w:hint="default" w:ascii="Times New Roman" w:hAnsi="Times New Roman" w:eastAsia="方正仿宋_GBK" w:cs="Times New Roman"/>
          <w:color w:val="auto"/>
          <w:spacing w:val="3"/>
          <w:sz w:val="31"/>
          <w:szCs w:val="31"/>
          <w:highlight w:val="none"/>
        </w:rPr>
        <w:t>指为保障机构正常运转、完成日常工作任</w:t>
      </w:r>
      <w:r>
        <w:rPr>
          <w:rFonts w:hint="default" w:ascii="Times New Roman" w:hAnsi="Times New Roman" w:eastAsia="方正仿宋_GBK" w:cs="Times New Roman"/>
          <w:color w:val="auto"/>
          <w:spacing w:val="5"/>
          <w:sz w:val="31"/>
          <w:szCs w:val="31"/>
          <w:highlight w:val="none"/>
        </w:rPr>
        <w:t>务而发生的人员支出和公用支出。</w:t>
      </w:r>
    </w:p>
    <w:p>
      <w:pPr>
        <w:keepNext w:val="0"/>
        <w:keepLines w:val="0"/>
        <w:pageBreakBefore w:val="0"/>
        <w:widowControl/>
        <w:kinsoku/>
        <w:wordWrap/>
        <w:overflowPunct w:val="0"/>
        <w:topLinePunct w:val="0"/>
        <w:autoSpaceDE w:val="0"/>
        <w:autoSpaceDN w:val="0"/>
        <w:bidi w:val="0"/>
        <w:adjustRightInd w:val="0"/>
        <w:snapToGrid w:val="0"/>
        <w:spacing w:before="3" w:line="600" w:lineRule="exact"/>
        <w:ind w:left="7" w:right="78" w:firstLine="646"/>
        <w:jc w:val="both"/>
        <w:textAlignment w:val="baseline"/>
        <w:rPr>
          <w:rFonts w:hint="default" w:ascii="Times New Roman" w:hAnsi="Times New Roman" w:eastAsia="方正仿宋_GBK" w:cs="Times New Roman"/>
          <w:color w:val="auto"/>
          <w:sz w:val="31"/>
          <w:szCs w:val="31"/>
          <w:highlight w:val="none"/>
        </w:rPr>
      </w:pPr>
      <w:r>
        <w:rPr>
          <w:rFonts w:hint="default" w:ascii="Times New Roman" w:hAnsi="Times New Roman" w:eastAsia="方正仿宋_GBK" w:cs="Times New Roman"/>
          <w:b/>
          <w:bCs/>
          <w:color w:val="auto"/>
          <w:spacing w:val="3"/>
          <w:sz w:val="31"/>
          <w:szCs w:val="31"/>
          <w:highlight w:val="none"/>
          <w:lang w:eastAsia="zh-CN"/>
        </w:rPr>
        <w:t>二十</w:t>
      </w:r>
      <w:r>
        <w:rPr>
          <w:rFonts w:hint="default" w:ascii="Times New Roman" w:hAnsi="Times New Roman" w:eastAsia="方正仿宋_GBK" w:cs="Times New Roman"/>
          <w:b/>
          <w:bCs/>
          <w:color w:val="auto"/>
          <w:spacing w:val="3"/>
          <w:sz w:val="31"/>
          <w:szCs w:val="31"/>
          <w:highlight w:val="none"/>
        </w:rPr>
        <w:t>、项目支出：</w:t>
      </w:r>
      <w:r>
        <w:rPr>
          <w:rFonts w:hint="default" w:ascii="Times New Roman" w:hAnsi="Times New Roman" w:eastAsia="方正仿宋_GBK" w:cs="Times New Roman"/>
          <w:color w:val="auto"/>
          <w:spacing w:val="3"/>
          <w:sz w:val="31"/>
          <w:szCs w:val="31"/>
          <w:highlight w:val="none"/>
        </w:rPr>
        <w:t>指在基本支出之外为完成特定行政任务或</w:t>
      </w:r>
      <w:r>
        <w:rPr>
          <w:rFonts w:hint="default" w:ascii="Times New Roman" w:hAnsi="Times New Roman" w:eastAsia="方正仿宋_GBK" w:cs="Times New Roman"/>
          <w:color w:val="auto"/>
          <w:spacing w:val="5"/>
          <w:sz w:val="31"/>
          <w:szCs w:val="31"/>
          <w:highlight w:val="none"/>
        </w:rPr>
        <w:t>事业发展目标所发生的支出。</w:t>
      </w:r>
    </w:p>
    <w:p>
      <w:pPr>
        <w:keepNext w:val="0"/>
        <w:keepLines w:val="0"/>
        <w:pageBreakBefore w:val="0"/>
        <w:widowControl/>
        <w:kinsoku/>
        <w:wordWrap/>
        <w:overflowPunct w:val="0"/>
        <w:topLinePunct w:val="0"/>
        <w:autoSpaceDE w:val="0"/>
        <w:autoSpaceDN w:val="0"/>
        <w:bidi w:val="0"/>
        <w:adjustRightInd w:val="0"/>
        <w:snapToGrid w:val="0"/>
        <w:spacing w:before="7" w:line="600" w:lineRule="exact"/>
        <w:ind w:firstLine="656"/>
        <w:jc w:val="both"/>
        <w:textAlignment w:val="baseline"/>
        <w:rPr>
          <w:rFonts w:hint="default" w:ascii="Times New Roman" w:hAnsi="Times New Roman" w:eastAsia="方正仿宋_GBK" w:cs="Times New Roman"/>
          <w:color w:val="auto"/>
          <w:spacing w:val="4"/>
          <w:sz w:val="31"/>
          <w:szCs w:val="31"/>
          <w:highlight w:val="none"/>
        </w:rPr>
      </w:pPr>
      <w:r>
        <w:rPr>
          <w:rFonts w:hint="default" w:ascii="Times New Roman" w:hAnsi="Times New Roman" w:eastAsia="方正仿宋_GBK" w:cs="Times New Roman"/>
          <w:b/>
          <w:bCs/>
          <w:color w:val="auto"/>
          <w:spacing w:val="8"/>
          <w:sz w:val="31"/>
          <w:szCs w:val="31"/>
          <w:highlight w:val="none"/>
        </w:rPr>
        <w:t>二十</w:t>
      </w:r>
      <w:r>
        <w:rPr>
          <w:rFonts w:hint="default" w:ascii="Times New Roman" w:hAnsi="Times New Roman" w:eastAsia="方正仿宋_GBK" w:cs="Times New Roman"/>
          <w:b/>
          <w:bCs/>
          <w:color w:val="auto"/>
          <w:spacing w:val="8"/>
          <w:sz w:val="31"/>
          <w:szCs w:val="31"/>
          <w:highlight w:val="none"/>
          <w:lang w:eastAsia="zh-CN"/>
        </w:rPr>
        <w:t>一</w:t>
      </w:r>
      <w:r>
        <w:rPr>
          <w:rFonts w:hint="default" w:ascii="Times New Roman" w:hAnsi="Times New Roman" w:eastAsia="方正仿宋_GBK" w:cs="Times New Roman"/>
          <w:b/>
          <w:bCs/>
          <w:color w:val="auto"/>
          <w:spacing w:val="8"/>
          <w:sz w:val="31"/>
          <w:szCs w:val="31"/>
          <w:highlight w:val="none"/>
        </w:rPr>
        <w:t>、</w:t>
      </w:r>
      <w:r>
        <w:rPr>
          <w:rFonts w:hint="eastAsia" w:ascii="Times New Roman" w:hAnsi="Times New Roman" w:eastAsia="宋体" w:cs="Times New Roman"/>
          <w:b/>
          <w:bCs/>
          <w:color w:val="auto"/>
          <w:spacing w:val="8"/>
          <w:sz w:val="31"/>
          <w:szCs w:val="31"/>
          <w:highlight w:val="none"/>
          <w:lang w:eastAsia="zh-CN"/>
        </w:rPr>
        <w:t>“</w:t>
      </w:r>
      <w:r>
        <w:rPr>
          <w:rFonts w:hint="default" w:ascii="Times New Roman" w:hAnsi="Times New Roman" w:eastAsia="方正仿宋_GBK" w:cs="Times New Roman"/>
          <w:b/>
          <w:bCs/>
          <w:color w:val="auto"/>
          <w:spacing w:val="8"/>
          <w:sz w:val="31"/>
          <w:szCs w:val="31"/>
          <w:highlight w:val="none"/>
        </w:rPr>
        <w:t>三公</w:t>
      </w:r>
      <w:r>
        <w:rPr>
          <w:rFonts w:hint="default" w:ascii="Times New Roman" w:hAnsi="Times New Roman" w:eastAsia="Times New Roman" w:cs="Times New Roman"/>
          <w:b/>
          <w:bCs/>
          <w:color w:val="auto"/>
          <w:spacing w:val="8"/>
          <w:sz w:val="31"/>
          <w:szCs w:val="31"/>
          <w:highlight w:val="none"/>
        </w:rPr>
        <w:t>”</w:t>
      </w:r>
      <w:r>
        <w:rPr>
          <w:rFonts w:hint="default" w:ascii="Times New Roman" w:hAnsi="Times New Roman" w:eastAsia="Times New Roman" w:cs="Times New Roman"/>
          <w:b/>
          <w:bCs/>
          <w:color w:val="auto"/>
          <w:spacing w:val="-52"/>
          <w:sz w:val="31"/>
          <w:szCs w:val="31"/>
          <w:highlight w:val="none"/>
        </w:rPr>
        <w:t xml:space="preserve"> </w:t>
      </w:r>
      <w:r>
        <w:rPr>
          <w:rFonts w:hint="default" w:ascii="Times New Roman" w:hAnsi="Times New Roman" w:eastAsia="方正仿宋_GBK" w:cs="Times New Roman"/>
          <w:b/>
          <w:bCs/>
          <w:color w:val="auto"/>
          <w:spacing w:val="8"/>
          <w:sz w:val="31"/>
          <w:szCs w:val="31"/>
          <w:highlight w:val="none"/>
        </w:rPr>
        <w:t>经费：</w:t>
      </w:r>
      <w:r>
        <w:rPr>
          <w:rFonts w:hint="default" w:ascii="Times New Roman" w:hAnsi="Times New Roman" w:eastAsia="方正仿宋_GBK" w:cs="Times New Roman"/>
          <w:color w:val="auto"/>
          <w:spacing w:val="8"/>
          <w:sz w:val="31"/>
          <w:szCs w:val="31"/>
          <w:highlight w:val="none"/>
        </w:rPr>
        <w:t>纳入中央财政预决算管理的</w:t>
      </w:r>
      <w:r>
        <w:rPr>
          <w:rFonts w:hint="eastAsia" w:ascii="Times New Roman" w:hAnsi="Times New Roman" w:eastAsia="宋体" w:cs="Times New Roman"/>
          <w:color w:val="auto"/>
          <w:spacing w:val="8"/>
          <w:sz w:val="31"/>
          <w:szCs w:val="31"/>
          <w:highlight w:val="none"/>
          <w:lang w:eastAsia="zh-CN"/>
        </w:rPr>
        <w:t>“</w:t>
      </w:r>
      <w:r>
        <w:rPr>
          <w:rFonts w:hint="default" w:ascii="Times New Roman" w:hAnsi="Times New Roman" w:eastAsia="方正仿宋_GBK" w:cs="Times New Roman"/>
          <w:color w:val="auto"/>
          <w:spacing w:val="8"/>
          <w:sz w:val="31"/>
          <w:szCs w:val="31"/>
          <w:highlight w:val="none"/>
        </w:rPr>
        <w:t>三公</w:t>
      </w:r>
      <w:r>
        <w:rPr>
          <w:rFonts w:hint="default" w:ascii="Times New Roman" w:hAnsi="Times New Roman" w:eastAsia="Times New Roman" w:cs="Times New Roman"/>
          <w:color w:val="auto"/>
          <w:spacing w:val="8"/>
          <w:sz w:val="31"/>
          <w:szCs w:val="31"/>
          <w:highlight w:val="none"/>
        </w:rPr>
        <w:t>”</w:t>
      </w:r>
      <w:r>
        <w:rPr>
          <w:rFonts w:hint="default" w:ascii="Times New Roman" w:hAnsi="Times New Roman" w:eastAsia="方正仿宋_GBK" w:cs="Times New Roman"/>
          <w:color w:val="auto"/>
          <w:spacing w:val="8"/>
          <w:sz w:val="31"/>
          <w:szCs w:val="31"/>
          <w:highlight w:val="none"/>
        </w:rPr>
        <w:t>经</w:t>
      </w:r>
      <w:r>
        <w:rPr>
          <w:rFonts w:hint="default" w:ascii="Times New Roman" w:hAnsi="Times New Roman" w:eastAsia="方正仿宋_GBK" w:cs="Times New Roman"/>
          <w:color w:val="auto"/>
          <w:spacing w:val="5"/>
          <w:sz w:val="31"/>
          <w:szCs w:val="31"/>
          <w:highlight w:val="none"/>
        </w:rPr>
        <w:t>费，指中央部门用财政拨款安排的因公出国（境）费、公务用车</w:t>
      </w:r>
      <w:r>
        <w:rPr>
          <w:rFonts w:hint="default" w:ascii="Times New Roman" w:hAnsi="Times New Roman" w:eastAsia="方正仿宋_GBK" w:cs="Times New Roman"/>
          <w:color w:val="auto"/>
          <w:spacing w:val="-4"/>
          <w:sz w:val="31"/>
          <w:szCs w:val="31"/>
          <w:highlight w:val="none"/>
        </w:rPr>
        <w:t>购置及运行维护费和公务接待费。其中，因公出国（境）费反映</w:t>
      </w:r>
      <w:r>
        <w:rPr>
          <w:rFonts w:hint="default" w:ascii="Times New Roman" w:hAnsi="Times New Roman" w:eastAsia="方正仿宋_GBK" w:cs="Times New Roman"/>
          <w:color w:val="auto"/>
          <w:spacing w:val="8"/>
          <w:sz w:val="31"/>
          <w:szCs w:val="31"/>
          <w:highlight w:val="none"/>
        </w:rPr>
        <w:t>单位公务出国（境）的国际旅费、国外城市间交通费、住</w:t>
      </w:r>
      <w:r>
        <w:rPr>
          <w:rFonts w:hint="default" w:ascii="Times New Roman" w:hAnsi="Times New Roman" w:eastAsia="方正仿宋_GBK" w:cs="Times New Roman"/>
          <w:color w:val="auto"/>
          <w:spacing w:val="7"/>
          <w:sz w:val="31"/>
          <w:szCs w:val="31"/>
          <w:highlight w:val="none"/>
        </w:rPr>
        <w:t>宿费、</w:t>
      </w:r>
      <w:r>
        <w:rPr>
          <w:rFonts w:hint="default" w:ascii="Times New Roman" w:hAnsi="Times New Roman" w:eastAsia="方正仿宋_GBK" w:cs="Times New Roman"/>
          <w:color w:val="auto"/>
          <w:spacing w:val="5"/>
          <w:sz w:val="31"/>
          <w:szCs w:val="31"/>
          <w:highlight w:val="none"/>
        </w:rPr>
        <w:t>伙食费、培训费、公杂费等支出；公务用车购置及运行维护费反映单位公务用车车辆购置支出（含车辆购置税）及燃料费、维修费、过路过桥费、保险费、安全奖励费用等支出；公务接待费反</w:t>
      </w:r>
      <w:r>
        <w:rPr>
          <w:rFonts w:hint="default" w:ascii="Times New Roman" w:hAnsi="Times New Roman" w:eastAsia="方正仿宋_GBK" w:cs="Times New Roman"/>
          <w:color w:val="auto"/>
          <w:spacing w:val="4"/>
          <w:sz w:val="31"/>
          <w:szCs w:val="31"/>
          <w:highlight w:val="none"/>
        </w:rPr>
        <w:t>映单位按规定开支的各类公务接待（含外宾接待）</w:t>
      </w:r>
      <w:r>
        <w:rPr>
          <w:rFonts w:hint="default" w:ascii="Times New Roman" w:hAnsi="Times New Roman" w:eastAsia="方正仿宋_GBK" w:cs="Times New Roman"/>
          <w:color w:val="auto"/>
          <w:spacing w:val="-40"/>
          <w:sz w:val="31"/>
          <w:szCs w:val="31"/>
          <w:highlight w:val="none"/>
        </w:rPr>
        <w:t xml:space="preserve"> </w:t>
      </w:r>
      <w:r>
        <w:rPr>
          <w:rFonts w:hint="default" w:ascii="Times New Roman" w:hAnsi="Times New Roman" w:eastAsia="方正仿宋_GBK" w:cs="Times New Roman"/>
          <w:color w:val="auto"/>
          <w:spacing w:val="4"/>
          <w:sz w:val="31"/>
          <w:szCs w:val="31"/>
          <w:highlight w:val="none"/>
        </w:rPr>
        <w:t>支出。</w:t>
      </w:r>
    </w:p>
    <w:p>
      <w:pPr>
        <w:keepNext w:val="0"/>
        <w:keepLines w:val="0"/>
        <w:pageBreakBefore w:val="0"/>
        <w:widowControl/>
        <w:kinsoku/>
        <w:wordWrap/>
        <w:overflowPunct w:val="0"/>
        <w:topLinePunct w:val="0"/>
        <w:autoSpaceDE w:val="0"/>
        <w:autoSpaceDN w:val="0"/>
        <w:bidi w:val="0"/>
        <w:adjustRightInd w:val="0"/>
        <w:snapToGrid w:val="0"/>
        <w:spacing w:before="7" w:line="600" w:lineRule="exact"/>
        <w:ind w:firstLine="656"/>
        <w:jc w:val="both"/>
        <w:textAlignment w:val="baseline"/>
        <w:rPr>
          <w:rFonts w:hint="default" w:ascii="Times New Roman" w:hAnsi="Times New Roman" w:cs="Times New Roman"/>
          <w:color w:val="auto"/>
          <w:highlight w:val="none"/>
        </w:rPr>
      </w:pPr>
      <w:r>
        <w:rPr>
          <w:rFonts w:hint="default" w:ascii="Times New Roman" w:hAnsi="Times New Roman" w:eastAsia="方正仿宋_GBK" w:cs="Times New Roman"/>
          <w:b/>
          <w:bCs/>
          <w:color w:val="auto"/>
          <w:spacing w:val="2"/>
          <w:sz w:val="31"/>
          <w:szCs w:val="31"/>
          <w:highlight w:val="none"/>
        </w:rPr>
        <w:t>二十</w:t>
      </w:r>
      <w:r>
        <w:rPr>
          <w:rFonts w:hint="default" w:ascii="Times New Roman" w:hAnsi="Times New Roman" w:eastAsia="方正仿宋_GBK" w:cs="Times New Roman"/>
          <w:b/>
          <w:bCs/>
          <w:color w:val="auto"/>
          <w:spacing w:val="2"/>
          <w:sz w:val="31"/>
          <w:szCs w:val="31"/>
          <w:highlight w:val="none"/>
          <w:lang w:eastAsia="zh-CN"/>
        </w:rPr>
        <w:t>二</w:t>
      </w:r>
      <w:r>
        <w:rPr>
          <w:rFonts w:hint="default" w:ascii="Times New Roman" w:hAnsi="Times New Roman" w:eastAsia="方正仿宋_GBK" w:cs="Times New Roman"/>
          <w:b/>
          <w:bCs/>
          <w:color w:val="auto"/>
          <w:spacing w:val="2"/>
          <w:sz w:val="31"/>
          <w:szCs w:val="31"/>
          <w:highlight w:val="none"/>
        </w:rPr>
        <w:t>、机关运行经费：</w:t>
      </w:r>
      <w:r>
        <w:rPr>
          <w:rFonts w:hint="default" w:ascii="Times New Roman" w:hAnsi="Times New Roman" w:eastAsia="方正仿宋_GBK" w:cs="Times New Roman"/>
          <w:color w:val="auto"/>
          <w:spacing w:val="2"/>
          <w:sz w:val="31"/>
          <w:szCs w:val="31"/>
          <w:highlight w:val="none"/>
        </w:rPr>
        <w:t>为保障行政单位（包括参照公务员</w:t>
      </w:r>
      <w:r>
        <w:rPr>
          <w:rFonts w:hint="default" w:ascii="Times New Roman" w:hAnsi="Times New Roman" w:eastAsia="方正仿宋_GBK" w:cs="Times New Roman"/>
          <w:color w:val="auto"/>
          <w:spacing w:val="5"/>
          <w:sz w:val="31"/>
          <w:szCs w:val="31"/>
          <w:highlight w:val="none"/>
        </w:rPr>
        <w:t>法管理的事业单位）运行用于购买货物和服务的各项资金，包括办公费、印刷费、邮电费、差旅费、会议费、日常维修费、专用材料及一般设备购置费、办公用房水电费、办公用房取暖费、办</w:t>
      </w:r>
      <w:r>
        <w:rPr>
          <w:rFonts w:hint="default" w:ascii="Times New Roman" w:hAnsi="Times New Roman" w:eastAsia="方正仿宋_GBK" w:cs="Times New Roman"/>
          <w:color w:val="auto"/>
          <w:spacing w:val="7"/>
          <w:sz w:val="31"/>
          <w:szCs w:val="31"/>
          <w:highlight w:val="none"/>
        </w:rPr>
        <w:t>公用房物业管理费、公务用车运行维护费以及其他费用</w:t>
      </w:r>
      <w:r>
        <w:rPr>
          <w:rFonts w:hint="eastAsia" w:ascii="Times New Roman" w:hAnsi="Times New Roman" w:eastAsia="方正仿宋_GBK" w:cs="Times New Roman"/>
          <w:color w:val="auto"/>
          <w:spacing w:val="7"/>
          <w:sz w:val="31"/>
          <w:szCs w:val="31"/>
          <w:highlight w:val="none"/>
          <w:lang w:eastAsia="zh-CN"/>
        </w:rPr>
        <w:t>。</w:t>
      </w:r>
    </w:p>
    <w:p>
      <w:pPr>
        <w:keepNext w:val="0"/>
        <w:keepLines w:val="0"/>
        <w:pageBreakBefore w:val="0"/>
        <w:widowControl/>
        <w:kinsoku/>
        <w:wordWrap/>
        <w:overflowPunct w:val="0"/>
        <w:topLinePunct w:val="0"/>
        <w:bidi w:val="0"/>
        <w:jc w:val="both"/>
      </w:pPr>
    </w:p>
    <w:sectPr>
      <w:footerReference r:id="rId14" w:type="default"/>
      <w:pgSz w:w="11907" w:h="16839"/>
      <w:pgMar w:top="2098" w:right="1531" w:bottom="1531" w:left="1531" w:header="0" w:footer="67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U6f0GwIAACs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hU6f0GwIAACsEAAAOAAAAAAAAAAEAIAAAADUBAABkcnMvZTJvRG9jLnhtbFBLBQYA&#10;AAAABgAGAFkBAADCBQAAAAA=&#10;">
              <v:fill on="f" focussize="0,0"/>
              <v:stroke on="f" weight="0.5pt"/>
              <v:imagedata o:title=""/>
              <o:lock v:ext="edit" aspectratio="f"/>
              <v:textbox inset="0mm,0mm,0mm,0mm" style="mso-fit-shape-to-text:t;">
                <w:txbxContent>
                  <w:p>
                    <w:pPr>
                      <w:pStyle w:val="7"/>
                      <w:rPr>
                        <w:rFonts w:hint="default" w:ascii="Times New Roman" w:hAnsi="Times New Roman" w:cs="Times New Roman"/>
                        <w:color w:val="E6B9B8" w:themeColor="accent2" w:themeTint="66"/>
                        <w:sz w:val="24"/>
                        <w:szCs w:val="24"/>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28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j0+w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BI9PsBwCAAArBAAADgAAAAAAAAABACAAAAA1AQAAZHJzL2Uyb0RvYy54bWxQSwUG&#10;AAAAAAYABgBZAQAAww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5965"/>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OFkURYdAgAAKwQAAA4AAAAAAAAAAQAgAAAANQ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64"/>
      <w:rPr>
        <w:rFonts w:ascii="宋体" w:hAnsi="宋体" w:eastAsia="宋体" w:cs="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J0TUpQaAgAAKwQAAA4AAAAAAAAAAQAgAAAANQEAAGRycy9lMm9Eb2MueG1sUEsFBgAA&#10;AAAGAAYAWQEAAME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903"/>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v0bQoGwIAACsEAAAOAAAAAAAAAAEAIAAAADUBAABkcnMvZTJvRG9jLnhtbFBLBQYA&#10;AAAABgAGAFkBAADCBQ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29"/>
      <w:rPr>
        <w:rFonts w:hint="eastAsia" w:ascii="Times New Roman" w:hAnsi="Times New Roman" w:eastAsia="宋体" w:cs="Times New Roman"/>
        <w:sz w:val="24"/>
        <w:szCs w:val="24"/>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UwiKHQIAACs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pTCIodAgAAKwQAAA4AAAAAAAAAAQAgAAAANQ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861"/>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EFoKHQIAACsEAAAOAAAAZHJz&#10;L2Uyb0RvYy54bWytU82O0zAQviPxDpbvNGlhV1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84oSzRRmdPr65fTtx+n7&#10;Z4I3ANRaP4PfxsIzdK9NV9Dg9mIwebzH1rvKqXijKQIXoH28ICy6QDgex9PJdJrDxGEbFKTIrt+t&#10;8+GNMIpEoaAOI0zIssPah7Pr4BKzabNqpExjlJq0Bb19eZO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JYQWgodAgAAKwQAAA4AAAAAAAAAAQAgAAAANQ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18</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29"/>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0ry2HgIAACs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Dk0ry2HgIAACsEAAAOAAAAAAAAAAEAIAAAADUBAABkcnMvZTJvRG9jLnhtbFBL&#10;BQYAAAAABgAGAFkBAADFBQ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5" w:lineRule="auto"/>
      <w:ind w:left="4308"/>
      <w:rPr>
        <w:rFonts w:ascii="宋体" w:hAnsi="宋体" w:eastAsia="宋体" w:cs="宋体"/>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0dXPHQIAACsEAAAOAAAAZHJz&#10;L2Uyb0RvYy54bWytU82O0zAQviPxDpbvNGnRrkr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LjR1c8dAgAAKwQAAA4AAAAAAAAAAQAgAAAANQEAAGRycy9lMm9Eb2MueG1sUEsF&#10;BgAAAAAGAAYAWQEAAMQ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5837"/>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43</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DvuM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g77jBwCAAArBAAADgAAAAAAAAABACAAAAA1AQAAZHJzL2Uyb0RvYy54bWxQSwUG&#10;AAAAAAYABgBZAQAAww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43</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01C5727"/>
    <w:rsid w:val="01654BD1"/>
    <w:rsid w:val="018A4BE2"/>
    <w:rsid w:val="02076421"/>
    <w:rsid w:val="026779BA"/>
    <w:rsid w:val="02CB1CF7"/>
    <w:rsid w:val="02DC72C7"/>
    <w:rsid w:val="03D50CA5"/>
    <w:rsid w:val="04206073"/>
    <w:rsid w:val="042232EC"/>
    <w:rsid w:val="043268D5"/>
    <w:rsid w:val="047563D0"/>
    <w:rsid w:val="05452311"/>
    <w:rsid w:val="057523EE"/>
    <w:rsid w:val="057743B8"/>
    <w:rsid w:val="05B178CA"/>
    <w:rsid w:val="062260D2"/>
    <w:rsid w:val="06532730"/>
    <w:rsid w:val="065D3EB9"/>
    <w:rsid w:val="066B5853"/>
    <w:rsid w:val="076517D2"/>
    <w:rsid w:val="07A34FF1"/>
    <w:rsid w:val="07B90CB8"/>
    <w:rsid w:val="08730E67"/>
    <w:rsid w:val="087944EF"/>
    <w:rsid w:val="08AF5FB9"/>
    <w:rsid w:val="08B46BC8"/>
    <w:rsid w:val="08E73603"/>
    <w:rsid w:val="08F42B09"/>
    <w:rsid w:val="094B5940"/>
    <w:rsid w:val="095F1B37"/>
    <w:rsid w:val="09A77BE3"/>
    <w:rsid w:val="09B502AE"/>
    <w:rsid w:val="09D05AAE"/>
    <w:rsid w:val="0A3B6E18"/>
    <w:rsid w:val="0B2610D3"/>
    <w:rsid w:val="0B776EC0"/>
    <w:rsid w:val="0BA457DB"/>
    <w:rsid w:val="0BA64D8F"/>
    <w:rsid w:val="0BC419DA"/>
    <w:rsid w:val="0CEB1914"/>
    <w:rsid w:val="0D1D3A97"/>
    <w:rsid w:val="0D4C7340"/>
    <w:rsid w:val="0D5E3553"/>
    <w:rsid w:val="0D676AC1"/>
    <w:rsid w:val="0D6866D2"/>
    <w:rsid w:val="0D8C4BF5"/>
    <w:rsid w:val="0F6B527E"/>
    <w:rsid w:val="108A4FA0"/>
    <w:rsid w:val="1164141F"/>
    <w:rsid w:val="116E2B13"/>
    <w:rsid w:val="11A26319"/>
    <w:rsid w:val="123D6042"/>
    <w:rsid w:val="136A730B"/>
    <w:rsid w:val="1374430E"/>
    <w:rsid w:val="137D2B9A"/>
    <w:rsid w:val="13A6323C"/>
    <w:rsid w:val="14153FD6"/>
    <w:rsid w:val="143B795A"/>
    <w:rsid w:val="14C5460A"/>
    <w:rsid w:val="15134E53"/>
    <w:rsid w:val="15806B32"/>
    <w:rsid w:val="15CD131B"/>
    <w:rsid w:val="15EC0B64"/>
    <w:rsid w:val="165F6ECF"/>
    <w:rsid w:val="16846532"/>
    <w:rsid w:val="16C31547"/>
    <w:rsid w:val="16FC9498"/>
    <w:rsid w:val="16FF7D6A"/>
    <w:rsid w:val="171026F5"/>
    <w:rsid w:val="178776E9"/>
    <w:rsid w:val="18D855A4"/>
    <w:rsid w:val="18F27B86"/>
    <w:rsid w:val="192D5062"/>
    <w:rsid w:val="19596D8C"/>
    <w:rsid w:val="197C38F4"/>
    <w:rsid w:val="19947F54"/>
    <w:rsid w:val="19EF5010"/>
    <w:rsid w:val="1A1E7039"/>
    <w:rsid w:val="1C1442B7"/>
    <w:rsid w:val="1C3F5BE8"/>
    <w:rsid w:val="1C5B6059"/>
    <w:rsid w:val="1C7A6434"/>
    <w:rsid w:val="1C9249BA"/>
    <w:rsid w:val="1CF10155"/>
    <w:rsid w:val="1D3639A1"/>
    <w:rsid w:val="1D451948"/>
    <w:rsid w:val="1D5E3A3C"/>
    <w:rsid w:val="1D8A14F0"/>
    <w:rsid w:val="1DA15BB5"/>
    <w:rsid w:val="1DC04AA1"/>
    <w:rsid w:val="1DD261D8"/>
    <w:rsid w:val="1F2245CB"/>
    <w:rsid w:val="1F6E6619"/>
    <w:rsid w:val="1F862454"/>
    <w:rsid w:val="1FA80895"/>
    <w:rsid w:val="2009466C"/>
    <w:rsid w:val="20523600"/>
    <w:rsid w:val="20781741"/>
    <w:rsid w:val="21924AC2"/>
    <w:rsid w:val="229D6DB5"/>
    <w:rsid w:val="23814E99"/>
    <w:rsid w:val="238241FC"/>
    <w:rsid w:val="23E6478B"/>
    <w:rsid w:val="24BC729A"/>
    <w:rsid w:val="25257535"/>
    <w:rsid w:val="25526614"/>
    <w:rsid w:val="25592D3B"/>
    <w:rsid w:val="25EB4D1E"/>
    <w:rsid w:val="26192BF6"/>
    <w:rsid w:val="26D14496"/>
    <w:rsid w:val="26ED789E"/>
    <w:rsid w:val="271A1B59"/>
    <w:rsid w:val="273870AC"/>
    <w:rsid w:val="27693709"/>
    <w:rsid w:val="2776688C"/>
    <w:rsid w:val="27CB43C4"/>
    <w:rsid w:val="27D03788"/>
    <w:rsid w:val="27DE153B"/>
    <w:rsid w:val="288479A5"/>
    <w:rsid w:val="28A30E9D"/>
    <w:rsid w:val="29826927"/>
    <w:rsid w:val="29D01D35"/>
    <w:rsid w:val="2A443FBA"/>
    <w:rsid w:val="2AE31A25"/>
    <w:rsid w:val="2B8E1A1E"/>
    <w:rsid w:val="2BB974A6"/>
    <w:rsid w:val="2BED6A85"/>
    <w:rsid w:val="2C5F50DB"/>
    <w:rsid w:val="2CEF75BF"/>
    <w:rsid w:val="2D3C1E2D"/>
    <w:rsid w:val="2DD438A6"/>
    <w:rsid w:val="2DE30102"/>
    <w:rsid w:val="2DE32107"/>
    <w:rsid w:val="2E0C4DEE"/>
    <w:rsid w:val="2E2257A5"/>
    <w:rsid w:val="2EA850C9"/>
    <w:rsid w:val="2EC050F2"/>
    <w:rsid w:val="2ECE5E9F"/>
    <w:rsid w:val="2EEB70FA"/>
    <w:rsid w:val="2F37233F"/>
    <w:rsid w:val="2F906DA9"/>
    <w:rsid w:val="2F9C6646"/>
    <w:rsid w:val="306E1D90"/>
    <w:rsid w:val="31AF3D3F"/>
    <w:rsid w:val="31DD626C"/>
    <w:rsid w:val="325C44C2"/>
    <w:rsid w:val="32CE4307"/>
    <w:rsid w:val="32DC7485"/>
    <w:rsid w:val="332A613E"/>
    <w:rsid w:val="346E139E"/>
    <w:rsid w:val="34806536"/>
    <w:rsid w:val="34AB6505"/>
    <w:rsid w:val="34CA25C5"/>
    <w:rsid w:val="350B635F"/>
    <w:rsid w:val="358D0F0B"/>
    <w:rsid w:val="35AB75E3"/>
    <w:rsid w:val="35F8B80D"/>
    <w:rsid w:val="364A067C"/>
    <w:rsid w:val="36C24BE4"/>
    <w:rsid w:val="36D52B69"/>
    <w:rsid w:val="37557806"/>
    <w:rsid w:val="37B95FE7"/>
    <w:rsid w:val="387864DB"/>
    <w:rsid w:val="38B86862"/>
    <w:rsid w:val="38D2190F"/>
    <w:rsid w:val="390E0EFB"/>
    <w:rsid w:val="39A607ED"/>
    <w:rsid w:val="39E3734B"/>
    <w:rsid w:val="3A766411"/>
    <w:rsid w:val="3AAA10FE"/>
    <w:rsid w:val="3B390336"/>
    <w:rsid w:val="3BDB2498"/>
    <w:rsid w:val="3C676D43"/>
    <w:rsid w:val="3CA07775"/>
    <w:rsid w:val="3CEF6007"/>
    <w:rsid w:val="3D167A38"/>
    <w:rsid w:val="3D421FBB"/>
    <w:rsid w:val="3D430CEE"/>
    <w:rsid w:val="3D5F4115"/>
    <w:rsid w:val="3D65232F"/>
    <w:rsid w:val="3D65276D"/>
    <w:rsid w:val="3D9077EA"/>
    <w:rsid w:val="3DBF148A"/>
    <w:rsid w:val="3DC756F9"/>
    <w:rsid w:val="3DF044B2"/>
    <w:rsid w:val="3E0E4BB3"/>
    <w:rsid w:val="3EF43CA7"/>
    <w:rsid w:val="3F0365C7"/>
    <w:rsid w:val="3FA51AEF"/>
    <w:rsid w:val="3FAA4549"/>
    <w:rsid w:val="3FAF65F4"/>
    <w:rsid w:val="3FE4B1B8"/>
    <w:rsid w:val="3FF73B50"/>
    <w:rsid w:val="40191C22"/>
    <w:rsid w:val="4038148A"/>
    <w:rsid w:val="40572841"/>
    <w:rsid w:val="407A4275"/>
    <w:rsid w:val="41125964"/>
    <w:rsid w:val="41547C60"/>
    <w:rsid w:val="42292165"/>
    <w:rsid w:val="42492C9C"/>
    <w:rsid w:val="424961B9"/>
    <w:rsid w:val="42B86E9B"/>
    <w:rsid w:val="43014CE6"/>
    <w:rsid w:val="430420E0"/>
    <w:rsid w:val="43B9736F"/>
    <w:rsid w:val="43BA50CC"/>
    <w:rsid w:val="444A742D"/>
    <w:rsid w:val="45C817B2"/>
    <w:rsid w:val="45CD7101"/>
    <w:rsid w:val="45F9525B"/>
    <w:rsid w:val="46C95B1B"/>
    <w:rsid w:val="46D30747"/>
    <w:rsid w:val="470A5736"/>
    <w:rsid w:val="47213261"/>
    <w:rsid w:val="47881532"/>
    <w:rsid w:val="47AD2D46"/>
    <w:rsid w:val="47DE1152"/>
    <w:rsid w:val="47E435E3"/>
    <w:rsid w:val="48083FFF"/>
    <w:rsid w:val="486F289A"/>
    <w:rsid w:val="48C447EC"/>
    <w:rsid w:val="498F1A31"/>
    <w:rsid w:val="499B66D1"/>
    <w:rsid w:val="49D123EE"/>
    <w:rsid w:val="4A735DEF"/>
    <w:rsid w:val="4A7D4C52"/>
    <w:rsid w:val="4AF56EDE"/>
    <w:rsid w:val="4B663938"/>
    <w:rsid w:val="4BF30F0E"/>
    <w:rsid w:val="4BF947AC"/>
    <w:rsid w:val="4C0D0258"/>
    <w:rsid w:val="4C4D3F08"/>
    <w:rsid w:val="4CB701C3"/>
    <w:rsid w:val="4CC4300C"/>
    <w:rsid w:val="4CE4545C"/>
    <w:rsid w:val="4D0D79B2"/>
    <w:rsid w:val="4D1675E0"/>
    <w:rsid w:val="4D5325E2"/>
    <w:rsid w:val="4D5636C2"/>
    <w:rsid w:val="4D8207D1"/>
    <w:rsid w:val="4DCA28A4"/>
    <w:rsid w:val="4EB70E15"/>
    <w:rsid w:val="4F1C324D"/>
    <w:rsid w:val="4F376CDC"/>
    <w:rsid w:val="4F460F98"/>
    <w:rsid w:val="4F512B51"/>
    <w:rsid w:val="4F591FFC"/>
    <w:rsid w:val="4F745E2C"/>
    <w:rsid w:val="4F7800DE"/>
    <w:rsid w:val="501B4D1C"/>
    <w:rsid w:val="502918AA"/>
    <w:rsid w:val="50711A7B"/>
    <w:rsid w:val="50970A38"/>
    <w:rsid w:val="51361FFF"/>
    <w:rsid w:val="518C7E71"/>
    <w:rsid w:val="52780ADA"/>
    <w:rsid w:val="52BA27BB"/>
    <w:rsid w:val="52D61424"/>
    <w:rsid w:val="532145E9"/>
    <w:rsid w:val="53281E1B"/>
    <w:rsid w:val="536E0BB8"/>
    <w:rsid w:val="53BF62DB"/>
    <w:rsid w:val="53CB5C3E"/>
    <w:rsid w:val="53FD20BF"/>
    <w:rsid w:val="54290643"/>
    <w:rsid w:val="543078D7"/>
    <w:rsid w:val="547E7F44"/>
    <w:rsid w:val="54AF522D"/>
    <w:rsid w:val="54C31DFB"/>
    <w:rsid w:val="54DB5397"/>
    <w:rsid w:val="54FE2E33"/>
    <w:rsid w:val="550A4AAE"/>
    <w:rsid w:val="554A7153"/>
    <w:rsid w:val="556B321E"/>
    <w:rsid w:val="55747599"/>
    <w:rsid w:val="55C8213D"/>
    <w:rsid w:val="560D71B2"/>
    <w:rsid w:val="561B17C3"/>
    <w:rsid w:val="568578F8"/>
    <w:rsid w:val="56CB4F97"/>
    <w:rsid w:val="56DB248B"/>
    <w:rsid w:val="57476390"/>
    <w:rsid w:val="577E025B"/>
    <w:rsid w:val="57B84A60"/>
    <w:rsid w:val="57C76041"/>
    <w:rsid w:val="57CA6A87"/>
    <w:rsid w:val="581B1F4E"/>
    <w:rsid w:val="584A6390"/>
    <w:rsid w:val="5851771E"/>
    <w:rsid w:val="58966556"/>
    <w:rsid w:val="58B42F9B"/>
    <w:rsid w:val="59937EC3"/>
    <w:rsid w:val="5A652E2B"/>
    <w:rsid w:val="5A6A4746"/>
    <w:rsid w:val="5A6E2809"/>
    <w:rsid w:val="5AA93733"/>
    <w:rsid w:val="5B1E08CC"/>
    <w:rsid w:val="5B2353A2"/>
    <w:rsid w:val="5C135D05"/>
    <w:rsid w:val="5CF70B75"/>
    <w:rsid w:val="5D494E68"/>
    <w:rsid w:val="5D9057B4"/>
    <w:rsid w:val="5EDB6A04"/>
    <w:rsid w:val="5EF5D489"/>
    <w:rsid w:val="5F0E45BB"/>
    <w:rsid w:val="5F456D65"/>
    <w:rsid w:val="5F4E6098"/>
    <w:rsid w:val="5F879FFB"/>
    <w:rsid w:val="5FBD69A7"/>
    <w:rsid w:val="5FD0361E"/>
    <w:rsid w:val="5FE137DD"/>
    <w:rsid w:val="5FFF28F6"/>
    <w:rsid w:val="601237DD"/>
    <w:rsid w:val="606C3347"/>
    <w:rsid w:val="61834DEC"/>
    <w:rsid w:val="6198686E"/>
    <w:rsid w:val="61D35D9C"/>
    <w:rsid w:val="62CC27C3"/>
    <w:rsid w:val="631F6D97"/>
    <w:rsid w:val="63282EF4"/>
    <w:rsid w:val="63A1155A"/>
    <w:rsid w:val="63B76EED"/>
    <w:rsid w:val="63BE5405"/>
    <w:rsid w:val="63D556A7"/>
    <w:rsid w:val="643D3E8F"/>
    <w:rsid w:val="64470089"/>
    <w:rsid w:val="646A272A"/>
    <w:rsid w:val="64DE249A"/>
    <w:rsid w:val="650C6E60"/>
    <w:rsid w:val="655A5E64"/>
    <w:rsid w:val="65AE4402"/>
    <w:rsid w:val="660E5B28"/>
    <w:rsid w:val="66522FDF"/>
    <w:rsid w:val="668C4743"/>
    <w:rsid w:val="66D045C0"/>
    <w:rsid w:val="66E93710"/>
    <w:rsid w:val="67CD1BF1"/>
    <w:rsid w:val="686314D3"/>
    <w:rsid w:val="68840010"/>
    <w:rsid w:val="688F44CC"/>
    <w:rsid w:val="697231D4"/>
    <w:rsid w:val="69AA3132"/>
    <w:rsid w:val="6AEF704E"/>
    <w:rsid w:val="6B2D5DC9"/>
    <w:rsid w:val="6B39476E"/>
    <w:rsid w:val="6BAD2D8D"/>
    <w:rsid w:val="6BAE1909"/>
    <w:rsid w:val="6BC4672D"/>
    <w:rsid w:val="6BECF404"/>
    <w:rsid w:val="6C7D7777"/>
    <w:rsid w:val="6D9D7236"/>
    <w:rsid w:val="6E080427"/>
    <w:rsid w:val="6E3A0F28"/>
    <w:rsid w:val="6EDFFD94"/>
    <w:rsid w:val="6F024AD9"/>
    <w:rsid w:val="6F2C4D6F"/>
    <w:rsid w:val="6F445A00"/>
    <w:rsid w:val="6F7EAD6E"/>
    <w:rsid w:val="702F4862"/>
    <w:rsid w:val="70A0325C"/>
    <w:rsid w:val="710234E6"/>
    <w:rsid w:val="712B4B58"/>
    <w:rsid w:val="712B6906"/>
    <w:rsid w:val="71381023"/>
    <w:rsid w:val="72198B72"/>
    <w:rsid w:val="724834E8"/>
    <w:rsid w:val="724C7E10"/>
    <w:rsid w:val="72A90FFE"/>
    <w:rsid w:val="72B77140"/>
    <w:rsid w:val="72C60FDD"/>
    <w:rsid w:val="72E3698D"/>
    <w:rsid w:val="72F5541E"/>
    <w:rsid w:val="731A6F12"/>
    <w:rsid w:val="733F2B3D"/>
    <w:rsid w:val="73683E42"/>
    <w:rsid w:val="739E5E3B"/>
    <w:rsid w:val="73A75CC1"/>
    <w:rsid w:val="7400051E"/>
    <w:rsid w:val="74246567"/>
    <w:rsid w:val="74424504"/>
    <w:rsid w:val="74AF784E"/>
    <w:rsid w:val="74BBA99A"/>
    <w:rsid w:val="75B83625"/>
    <w:rsid w:val="75E513DC"/>
    <w:rsid w:val="767A303E"/>
    <w:rsid w:val="76FD487F"/>
    <w:rsid w:val="77731007"/>
    <w:rsid w:val="77F6BF07"/>
    <w:rsid w:val="78085BF3"/>
    <w:rsid w:val="78177BE5"/>
    <w:rsid w:val="783C764B"/>
    <w:rsid w:val="78E8101C"/>
    <w:rsid w:val="78EA0F28"/>
    <w:rsid w:val="79167F2B"/>
    <w:rsid w:val="793A54E0"/>
    <w:rsid w:val="79497A65"/>
    <w:rsid w:val="79825532"/>
    <w:rsid w:val="79DB73EA"/>
    <w:rsid w:val="79F219C0"/>
    <w:rsid w:val="7A070AC9"/>
    <w:rsid w:val="7A3B4755"/>
    <w:rsid w:val="7AAE5DB4"/>
    <w:rsid w:val="7AB57A01"/>
    <w:rsid w:val="7B242D44"/>
    <w:rsid w:val="7B4E1B6F"/>
    <w:rsid w:val="7B762E74"/>
    <w:rsid w:val="7B7DFD98"/>
    <w:rsid w:val="7BC02341"/>
    <w:rsid w:val="7BC053F6"/>
    <w:rsid w:val="7BC736D0"/>
    <w:rsid w:val="7BD9EF42"/>
    <w:rsid w:val="7C06244A"/>
    <w:rsid w:val="7C4B4029"/>
    <w:rsid w:val="7CA81753"/>
    <w:rsid w:val="7CF84488"/>
    <w:rsid w:val="7D120D03"/>
    <w:rsid w:val="7D23702C"/>
    <w:rsid w:val="7DAFB85A"/>
    <w:rsid w:val="7DF40BB3"/>
    <w:rsid w:val="7DFE688B"/>
    <w:rsid w:val="7E1E1F5C"/>
    <w:rsid w:val="7E505BFE"/>
    <w:rsid w:val="7E7F0292"/>
    <w:rsid w:val="7E872D7B"/>
    <w:rsid w:val="7E9F8D93"/>
    <w:rsid w:val="7F271629"/>
    <w:rsid w:val="7F5B7F04"/>
    <w:rsid w:val="7F5D3AC4"/>
    <w:rsid w:val="7F7C7A19"/>
    <w:rsid w:val="7FBE88D1"/>
    <w:rsid w:val="7FEF48E5"/>
    <w:rsid w:val="7FF16F6D"/>
    <w:rsid w:val="7FFB015E"/>
    <w:rsid w:val="9DB5F79C"/>
    <w:rsid w:val="9EB94E23"/>
    <w:rsid w:val="9FE78EE5"/>
    <w:rsid w:val="A0BE8820"/>
    <w:rsid w:val="AD37A943"/>
    <w:rsid w:val="B7D27157"/>
    <w:rsid w:val="BCDFECE1"/>
    <w:rsid w:val="BDDDC35A"/>
    <w:rsid w:val="CDF96461"/>
    <w:rsid w:val="DE328A6C"/>
    <w:rsid w:val="DFB63F45"/>
    <w:rsid w:val="EABD67F5"/>
    <w:rsid w:val="F1761106"/>
    <w:rsid w:val="F4FA5FF6"/>
    <w:rsid w:val="F77F117D"/>
    <w:rsid w:val="F9FF609F"/>
    <w:rsid w:val="FBCC9670"/>
    <w:rsid w:val="FC7F0096"/>
    <w:rsid w:val="FCEF6854"/>
    <w:rsid w:val="FD7F13CA"/>
    <w:rsid w:val="FDDF13EC"/>
    <w:rsid w:val="FE4473FF"/>
    <w:rsid w:val="FE724596"/>
    <w:rsid w:val="FF5BC0AF"/>
    <w:rsid w:val="FFBB209A"/>
    <w:rsid w:val="FFDE0919"/>
    <w:rsid w:val="FFDEBF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rFonts w:eastAsia="黑体"/>
      <w:bCs/>
      <w:kern w:val="44"/>
      <w:sz w:val="32"/>
      <w:szCs w:val="44"/>
    </w:rPr>
  </w:style>
  <w:style w:type="paragraph" w:styleId="3">
    <w:name w:val="heading 2"/>
    <w:basedOn w:val="1"/>
    <w:next w:val="1"/>
    <w:unhideWhenUsed/>
    <w:qFormat/>
    <w:uiPriority w:val="9"/>
    <w:pPr>
      <w:keepNext/>
      <w:keepLines/>
      <w:spacing w:before="260" w:after="260" w:line="416" w:lineRule="auto"/>
      <w:outlineLvl w:val="1"/>
    </w:pPr>
    <w:rPr>
      <w:rFonts w:eastAsia="楷体" w:asciiTheme="majorHAnsi" w:hAnsiTheme="majorHAnsi" w:cstheme="majorBidi"/>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spacing w:line="440" w:lineRule="exact"/>
      <w:ind w:firstLine="480" w:firstLineChars="20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方正仿宋_GBK" w:hAnsi="方正仿宋_GBK" w:eastAsia="方正仿宋_GBK" w:cs="方正仿宋_GBK"/>
      <w:sz w:val="31"/>
      <w:szCs w:val="31"/>
      <w:lang w:val="en-US" w:eastAsia="en-US" w:bidi="ar-SA"/>
    </w:rPr>
  </w:style>
  <w:style w:type="character" w:customStyle="1" w:styleId="16">
    <w:name w:val="font51"/>
    <w:basedOn w:val="13"/>
    <w:qFormat/>
    <w:uiPriority w:val="0"/>
    <w:rPr>
      <w:rFonts w:hint="eastAsia" w:ascii="宋体" w:hAnsi="宋体" w:eastAsia="宋体" w:cs="宋体"/>
      <w:color w:val="000000"/>
      <w:sz w:val="16"/>
      <w:szCs w:val="16"/>
      <w:u w:val="none"/>
    </w:rPr>
  </w:style>
  <w:style w:type="character" w:customStyle="1" w:styleId="17">
    <w:name w:val="font11"/>
    <w:basedOn w:val="13"/>
    <w:qFormat/>
    <w:uiPriority w:val="0"/>
    <w:rPr>
      <w:rFonts w:hint="default" w:ascii="Times New Roman" w:hAnsi="Times New Roman" w:cs="Times New Roman"/>
      <w:color w:val="000000"/>
      <w:sz w:val="16"/>
      <w:szCs w:val="16"/>
      <w:u w:val="none"/>
    </w:rPr>
  </w:style>
  <w:style w:type="character" w:customStyle="1" w:styleId="18">
    <w:name w:val="font61"/>
    <w:basedOn w:val="13"/>
    <w:qFormat/>
    <w:uiPriority w:val="0"/>
    <w:rPr>
      <w:rFonts w:hint="eastAsia" w:ascii="宋体" w:hAnsi="宋体" w:eastAsia="宋体" w:cs="宋体"/>
      <w:color w:val="000000"/>
      <w:sz w:val="18"/>
      <w:szCs w:val="18"/>
      <w:u w:val="none"/>
    </w:rPr>
  </w:style>
  <w:style w:type="character" w:customStyle="1" w:styleId="19">
    <w:name w:val="font31"/>
    <w:basedOn w:val="13"/>
    <w:qFormat/>
    <w:uiPriority w:val="0"/>
    <w:rPr>
      <w:rFonts w:hint="default" w:ascii="Times New Roman" w:hAnsi="Times New Roman" w:cs="Times New Roman"/>
      <w:color w:val="000000"/>
      <w:sz w:val="18"/>
      <w:szCs w:val="18"/>
      <w:u w:val="none"/>
    </w:rPr>
  </w:style>
  <w:style w:type="paragraph" w:customStyle="1" w:styleId="20">
    <w:name w:val="明显引用1"/>
    <w:basedOn w:val="1"/>
    <w:next w:val="1"/>
    <w:qFormat/>
    <w:uiPriority w:val="0"/>
    <w:pPr>
      <w:widowControl/>
      <w:wordWrap w:val="0"/>
      <w:spacing w:before="360" w:after="360"/>
      <w:ind w:left="950" w:right="950"/>
      <w:jc w:val="center"/>
    </w:pPr>
    <w:rPr>
      <w:rFonts w:ascii="Calibri" w:hAnsi="Calibri" w:cs="宋体"/>
      <w:i/>
      <w:iCs/>
      <w:kern w:val="0"/>
    </w:rPr>
  </w:style>
  <w:style w:type="paragraph" w:customStyle="1" w:styleId="21">
    <w:name w:val="PlainText"/>
    <w:basedOn w:val="1"/>
    <w:qFormat/>
    <w:uiPriority w:val="0"/>
    <w:pPr>
      <w:spacing w:line="240" w:lineRule="auto"/>
      <w:jc w:val="both"/>
      <w:textAlignment w:val="baseline"/>
    </w:pPr>
    <w:rPr>
      <w:rFonts w:ascii="宋体" w:hAnsi="Courier New" w:eastAsia="宋体" w:cs="Times New Roman"/>
      <w:kern w:val="2"/>
      <w:sz w:val="21"/>
      <w:lang w:val="en-US" w:eastAsia="zh-CN" w:bidi="ar-SA"/>
    </w:rPr>
  </w:style>
  <w:style w:type="character" w:customStyle="1" w:styleId="22">
    <w:name w:val="font01"/>
    <w:basedOn w:val="13"/>
    <w:qFormat/>
    <w:uiPriority w:val="0"/>
    <w:rPr>
      <w:rFonts w:hint="eastAsia" w:ascii="宋体" w:hAnsi="宋体" w:eastAsia="宋体" w:cs="宋体"/>
      <w:color w:val="000000"/>
      <w:sz w:val="16"/>
      <w:szCs w:val="16"/>
      <w:u w:val="none"/>
    </w:rPr>
  </w:style>
  <w:style w:type="character" w:customStyle="1" w:styleId="23">
    <w:name w:val="font41"/>
    <w:basedOn w:val="13"/>
    <w:qFormat/>
    <w:uiPriority w:val="0"/>
    <w:rPr>
      <w:rFonts w:hint="eastAsia" w:ascii="宋体" w:hAnsi="宋体" w:eastAsia="宋体" w:cs="宋体"/>
      <w:color w:val="000000"/>
      <w:sz w:val="16"/>
      <w:szCs w:val="16"/>
      <w:u w:val="none"/>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chart" Target="charts/chart6.xml"/><Relationship Id="rId21" Type="http://schemas.openxmlformats.org/officeDocument/2006/relationships/chart" Target="charts/chart5.xml"/><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chart" Target="charts/chart3.xml"/><Relationship Id="rId18" Type="http://schemas.openxmlformats.org/officeDocument/2006/relationships/chart" Target="charts/chart2.xml"/><Relationship Id="rId17" Type="http://schemas.openxmlformats.org/officeDocument/2006/relationships/chart" Target="charts/chart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edia/data1/2025&#24180;&#24037;&#20316;/2024&#24180;&#24230;&#20915;&#31639;/2024&#24180;&#24230;&#20915;&#31639;/&#34920;&#26684;.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media/data1/2025&#24180;&#24037;&#20316;/2024&#24180;&#24230;&#20915;&#31639;/2024&#24180;&#24230;&#20915;&#31639;/&#34920;&#2668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edia/data1/2025&#24180;&#24037;&#20316;/2024&#24180;&#24230;&#20915;&#31639;/2024&#24180;&#24230;&#20915;&#31639;/&#34920;&#2668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edia/data1/2025&#24180;&#24037;&#20316;/2024&#24180;&#24230;&#20915;&#31639;/2024&#24180;&#24230;&#20915;&#31639;/&#34920;&#2668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edia/data1/2025&#24180;&#24037;&#20316;/2024&#24180;&#24230;&#20915;&#31639;/2024&#24180;&#24230;&#20915;&#31639;/&#34920;&#26684;.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media/data1/2025&#24180;&#24037;&#20316;/2024&#24180;&#24230;&#20915;&#31639;/2024&#24180;&#24230;&#20915;&#31639;/&#34920;&#2668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收、支决算总计上下年变动情况（单位：万元 ）</a:t>
            </a:r>
          </a:p>
          <a:p>
            <a:pPr defTabSz="914400">
              <a:defRPr lang="zh-CN" sz="1400" b="0" i="0" u="none" strike="noStrike" kern="1200" spc="0" baseline="0">
                <a:solidFill>
                  <a:schemeClr val="tx1">
                    <a:lumMod val="65000"/>
                    <a:lumOff val="35000"/>
                  </a:schemeClr>
                </a:solidFill>
                <a:latin typeface="+mn-lt"/>
                <a:ea typeface="+mn-ea"/>
                <a:cs typeface="+mn-cs"/>
              </a:defRPr>
            </a:pP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Pt>
            <c:idx val="1"/>
            <c:invertIfNegative val="false"/>
            <c:bubble3D val="false"/>
            <c:spPr>
              <a:solidFill>
                <a:schemeClr val="accent6">
                  <a:lumMod val="75000"/>
                </a:schemeClr>
              </a:solidFill>
              <a:ln>
                <a:no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[表格.xls]Sheet1!$A$3:$A$4</c:f>
              <c:numCache>
                <c:formatCode>General</c:formatCode>
                <c:ptCount val="2"/>
                <c:pt idx="0">
                  <c:v>2025</c:v>
                </c:pt>
                <c:pt idx="1">
                  <c:v>2024</c:v>
                </c:pt>
              </c:numCache>
            </c:numRef>
          </c:cat>
          <c:val>
            <c:numRef>
              <c:f>[表格.xls]Sheet1!$B$3:$B$4</c:f>
              <c:numCache>
                <c:formatCode>#,##0.00</c:formatCode>
                <c:ptCount val="2"/>
                <c:pt idx="0">
                  <c:v>1407.55</c:v>
                </c:pt>
                <c:pt idx="1">
                  <c:v>1217.12</c:v>
                </c:pt>
              </c:numCache>
            </c:numRef>
          </c:val>
        </c:ser>
        <c:dLbls>
          <c:showLegendKey val="false"/>
          <c:showVal val="false"/>
          <c:showCatName val="false"/>
          <c:showSerName val="false"/>
          <c:showPercent val="false"/>
          <c:showBubbleSize val="false"/>
        </c:dLbls>
        <c:gapWidth val="219"/>
        <c:overlap val="-27"/>
        <c:axId val="184662219"/>
        <c:axId val="557312986"/>
      </c:barChart>
      <c:catAx>
        <c:axId val="184662219"/>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57312986"/>
        <c:crosses val="autoZero"/>
        <c:auto val="true"/>
        <c:lblAlgn val="ctr"/>
        <c:lblOffset val="100"/>
        <c:noMultiLvlLbl val="false"/>
      </c:catAx>
      <c:valAx>
        <c:axId val="55731298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8466221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收入决算结构（单位：万元）</a:t>
            </a:r>
          </a:p>
        </c:rich>
      </c:tx>
      <c:layout/>
      <c:overlay val="false"/>
      <c:spPr>
        <a:noFill/>
        <a:ln>
          <a:noFill/>
        </a:ln>
        <a:effectLst/>
      </c:spPr>
    </c:title>
    <c:autoTitleDeleted val="false"/>
    <c:plotArea>
      <c:layout/>
      <c:pieChart>
        <c:varyColors val="true"/>
        <c:ser>
          <c:idx val="0"/>
          <c:order val="0"/>
          <c:spPr>
            <a:scene3d>
              <a:camera prst="orthographicFront"/>
              <a:lightRig rig="threePt" dir="t"/>
            </a:scene3d>
            <a:sp3d contourW="25400"/>
          </c:spPr>
          <c:explosion val="0"/>
          <c:dPt>
            <c:idx val="0"/>
            <c:bubble3D val="false"/>
            <c:spPr>
              <a:solidFill>
                <a:schemeClr val="accent1"/>
              </a:solidFill>
              <a:ln w="25400">
                <a:solidFill>
                  <a:schemeClr val="lt1"/>
                </a:solidFill>
              </a:ln>
              <a:effectLst/>
              <a:scene3d>
                <a:camera prst="orthographicFront"/>
                <a:lightRig rig="threePt" dir="t"/>
              </a:scene3d>
              <a:sp3d contourW="25400"/>
            </c:spPr>
          </c:dPt>
          <c:dPt>
            <c:idx val="1"/>
            <c:bubble3D val="false"/>
            <c:spPr>
              <a:solidFill>
                <a:schemeClr val="accent2"/>
              </a:solidFill>
              <a:ln w="25400">
                <a:solidFill>
                  <a:schemeClr val="lt1"/>
                </a:solidFill>
              </a:ln>
              <a:effectLst/>
              <a:scene3d>
                <a:camera prst="orthographicFront"/>
                <a:lightRig rig="threePt" dir="t"/>
              </a:scene3d>
              <a:sp3d contourW="25400"/>
            </c:spPr>
          </c:dPt>
          <c:dLbls>
            <c:dLbl>
              <c:idx val="0"/>
              <c:layout>
                <c:manualLayout>
                  <c:x val="-0.00208333333333333"/>
                  <c:y val="0"/>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4.42%</a:t>
                    </a:r>
                  </a:p>
                  <a:p>
                    <a:pPr defTabSz="914400">
                      <a:defRPr lang="zh-CN" sz="900" b="0" i="0" u="none" strike="noStrike" kern="1200" baseline="0">
                        <a:solidFill>
                          <a:schemeClr val="tx1">
                            <a:lumMod val="75000"/>
                            <a:lumOff val="25000"/>
                          </a:schemeClr>
                        </a:solidFill>
                        <a:latin typeface="+mn-lt"/>
                        <a:ea typeface="+mn-ea"/>
                        <a:cs typeface="+mn-cs"/>
                      </a:defRPr>
                    </a:pPr>
                    <a:r>
                      <a:t>48.24万元 </a:t>
                    </a:r>
                  </a:p>
                </c:rich>
              </c:tx>
              <c:dLblPos val="bestFit"/>
              <c:showLegendKey val="false"/>
              <c:showVal val="true"/>
              <c:showCatName val="false"/>
              <c:showSerName val="false"/>
              <c:showPercent val="true"/>
              <c:showBubbleSize val="false"/>
              <c:extLst>
                <c:ext xmlns:c15="http://schemas.microsoft.com/office/drawing/2012/chart" uri="{CE6537A1-D6FC-4f65-9D91-7224C49458BB}">
                  <c15:layout>
                    <c:manualLayout>
                      <c:w val="0.251805555555556"/>
                      <c:h val="0.149537037037037"/>
                    </c:manualLayout>
                  </c15:layout>
                </c:ext>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95.58%</a:t>
                    </a:r>
                  </a:p>
                  <a:p>
                    <a:pPr defTabSz="914400">
                      <a:defRPr lang="zh-CN" sz="900" b="0" i="0" u="none" strike="noStrike" kern="1200" baseline="0">
                        <a:solidFill>
                          <a:schemeClr val="tx1">
                            <a:lumMod val="75000"/>
                            <a:lumOff val="25000"/>
                          </a:schemeClr>
                        </a:solidFill>
                        <a:latin typeface="+mn-lt"/>
                        <a:ea typeface="+mn-ea"/>
                        <a:cs typeface="+mn-cs"/>
                      </a:defRPr>
                    </a:pPr>
                    <a:r>
                      <a:t>1,043.29万元 </a:t>
                    </a:r>
                  </a:p>
                </c:rich>
              </c:tx>
              <c:dLblPos val="bestFit"/>
              <c:showLegendKey val="false"/>
              <c:showVal val="true"/>
              <c:showCatName val="false"/>
              <c:showSerName val="false"/>
              <c:showPercent val="true"/>
              <c:showBubbleSize val="false"/>
              <c:extLst>
                <c:ext xmlns:c15="http://schemas.microsoft.com/office/drawing/2012/chart" uri="{CE6537A1-D6FC-4f65-9D91-7224C49458BB}"/>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[表格.xls]Sheet1!$A$30:$A$31</c:f>
              <c:strCache>
                <c:ptCount val="2"/>
                <c:pt idx="0">
                  <c:v>财政拨款收入</c:v>
                </c:pt>
                <c:pt idx="1">
                  <c:v>其他收入</c:v>
                </c:pt>
              </c:strCache>
            </c:strRef>
          </c:cat>
          <c:val>
            <c:numRef>
              <c:f>[表格.xls]Sheet1!$B$30:$B$31</c:f>
              <c:numCache>
                <c:formatCode>General</c:formatCode>
                <c:ptCount val="2"/>
                <c:pt idx="0">
                  <c:v>48.24</c:v>
                </c:pt>
                <c:pt idx="1" c:formatCode="#,##0.00">
                  <c:v>1043.29</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支出决算结构（单位：万元）</a:t>
            </a:r>
            <a:endParaRPr sz="1400" b="0" i="0" u="none" strike="noStrike" baseline="0">
              <a:solidFill>
                <a:srgbClr val="595959">
                  <a:alpha val="100000"/>
                </a:srgbClr>
              </a:solidFill>
              <a:latin typeface="宋体" charset="-122"/>
              <a:ea typeface="宋体" charset="-122"/>
              <a:cs typeface="宋体" charset="-122"/>
            </a:endParaRPr>
          </a:p>
          <a:p>
            <a:pPr defTabSz="914400">
              <a:defRPr lang="zh-CN" sz="1400" b="0" i="0" u="none" strike="noStrike" kern="1200" spc="0" baseline="0">
                <a:solidFill>
                  <a:schemeClr val="tx1">
                    <a:lumMod val="65000"/>
                    <a:lumOff val="35000"/>
                  </a:schemeClr>
                </a:solidFill>
                <a:latin typeface="+mn-lt"/>
                <a:ea typeface="+mn-ea"/>
                <a:cs typeface="+mn-cs"/>
              </a:defRPr>
            </a:pPr>
            <a:endParaRPr sz="1400" b="0" i="0" u="none" strike="noStrike" baseline="0">
              <a:solidFill>
                <a:srgbClr val="595959">
                  <a:alpha val="100000"/>
                </a:srgbClr>
              </a:solidFill>
              <a:latin typeface="宋体" charset="-122"/>
              <a:ea typeface="宋体" charset="-122"/>
              <a:cs typeface="宋体" charset="-122"/>
            </a:endParaRPr>
          </a:p>
        </c:rich>
      </c:tx>
      <c:layout>
        <c:manualLayout>
          <c:xMode val="edge"/>
          <c:yMode val="edge"/>
          <c:x val="0.261772468398389"/>
          <c:y val="0.0283018867924528"/>
        </c:manualLayout>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Lbls>
            <c:dLbl>
              <c:idx val="0"/>
              <c:layout>
                <c:manualLayout>
                  <c:x val="-0.08125"/>
                  <c:y val="0.03125"/>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基本支出,485.36万元, 53.85%</a:t>
                    </a:r>
                    <a:endParaRPr sz="900" b="0" i="0" u="none" strike="noStrike" baseline="0">
                      <a:solidFill>
                        <a:srgbClr val="404040">
                          <a:alpha val="100000"/>
                        </a:srgbClr>
                      </a:solidFill>
                      <a:latin typeface="宋体" charset="-122"/>
                      <a:ea typeface="宋体" charset="-122"/>
                      <a:cs typeface="宋体" charset="-122"/>
                    </a:endParaRPr>
                  </a:p>
                </c:rich>
              </c:tx>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true"/>
              <c:showSerName val="false"/>
              <c:showPercent val="true"/>
              <c:showBubbleSize val="false"/>
              <c:extLst>
                <c:ext xmlns:c15="http://schemas.microsoft.com/office/drawing/2012/chart" uri="{CE6537A1-D6FC-4f65-9D91-7224C49458BB}">
                  <c15:layout/>
                </c:ext>
              </c:extLst>
            </c:dLbl>
            <c:dLbl>
              <c:idx val="1"/>
              <c:layout>
                <c:manualLayout>
                  <c:x val="0.0958333333333333"/>
                  <c:y val="-0.0347222222222222"/>
                </c:manualLayout>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项目支出415.91万元, 46.15%</a:t>
                    </a:r>
                    <a:endParaRPr sz="900" b="0" i="0" u="none" strike="noStrike" baseline="0">
                      <a:solidFill>
                        <a:srgbClr val="404040">
                          <a:alpha val="100000"/>
                        </a:srgbClr>
                      </a:solidFill>
                      <a:latin typeface="宋体" charset="-122"/>
                      <a:ea typeface="宋体" charset="-122"/>
                      <a:cs typeface="宋体" charset="-122"/>
                    </a:endParaRPr>
                  </a:p>
                </c:rich>
              </c:tx>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true"/>
              <c:showSerName val="false"/>
              <c:showPercent val="true"/>
              <c:showBubbleSize val="false"/>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strRef>
              <c:f>[表格.xls]Sheet1!$A$46:$A$47</c:f>
              <c:strCache>
                <c:ptCount val="2"/>
                <c:pt idx="0">
                  <c:v>基本支出</c:v>
                </c:pt>
                <c:pt idx="1">
                  <c:v>项目支出</c:v>
                </c:pt>
              </c:strCache>
            </c:strRef>
          </c:cat>
          <c:val>
            <c:numRef>
              <c:f>[表格.xls]Sheet1!$B$46:$B$47</c:f>
              <c:numCache>
                <c:formatCode>General</c:formatCode>
                <c:ptCount val="2"/>
                <c:pt idx="0">
                  <c:v>612.24</c:v>
                </c:pt>
                <c:pt idx="1">
                  <c:v>547.34</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财政拨款收、支决算总计上下年变动</a:t>
            </a:r>
          </a:p>
          <a:p>
            <a:pPr defTabSz="914400">
              <a:defRPr lang="zh-CN" sz="1400" b="0" i="0" u="none" strike="noStrike" kern="1200" spc="0" baseline="0">
                <a:solidFill>
                  <a:schemeClr val="tx1">
                    <a:lumMod val="65000"/>
                    <a:lumOff val="35000"/>
                  </a:schemeClr>
                </a:solidFill>
                <a:latin typeface="+mn-lt"/>
                <a:ea typeface="+mn-ea"/>
                <a:cs typeface="+mn-cs"/>
              </a:defRPr>
            </a:pPr>
            <a:r>
              <a:t>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Pt>
            <c:idx val="1"/>
            <c:invertIfNegative val="false"/>
            <c:bubble3D val="false"/>
            <c:spPr>
              <a:solidFill>
                <a:schemeClr val="accent2"/>
              </a:solidFill>
              <a:ln>
                <a:no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[表格.xls]Sheet1!$A$62:$A$63</c:f>
              <c:strCache>
                <c:ptCount val="2"/>
                <c:pt idx="0">
                  <c:v>2025年</c:v>
                </c:pt>
                <c:pt idx="1">
                  <c:v>2024年</c:v>
                </c:pt>
              </c:strCache>
            </c:strRef>
          </c:cat>
          <c:val>
            <c:numRef>
              <c:f>[表格.xls]Sheet1!$B$62:$B$63</c:f>
              <c:numCache>
                <c:formatCode>General</c:formatCode>
                <c:ptCount val="2"/>
                <c:pt idx="0">
                  <c:v>48.24</c:v>
                </c:pt>
                <c:pt idx="1">
                  <c:v>44.41</c:v>
                </c:pt>
              </c:numCache>
            </c:numRef>
          </c:val>
        </c:ser>
        <c:dLbls>
          <c:showLegendKey val="false"/>
          <c:showVal val="false"/>
          <c:showCatName val="false"/>
          <c:showSerName val="false"/>
          <c:showPercent val="false"/>
          <c:showBubbleSize val="false"/>
        </c:dLbls>
        <c:gapWidth val="219"/>
        <c:overlap val="-27"/>
        <c:axId val="632326459"/>
        <c:axId val="22135262"/>
      </c:barChart>
      <c:catAx>
        <c:axId val="632326459"/>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2135262"/>
        <c:crosses val="autoZero"/>
        <c:auto val="true"/>
        <c:lblAlgn val="ctr"/>
        <c:lblOffset val="100"/>
        <c:noMultiLvlLbl val="false"/>
      </c:catAx>
      <c:valAx>
        <c:axId val="2213526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232645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财政拨款支出决算总计变动情况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Pt>
            <c:idx val="1"/>
            <c:invertIfNegative val="false"/>
            <c:bubble3D val="false"/>
            <c:spPr>
              <a:solidFill>
                <a:schemeClr val="accent2"/>
              </a:solidFill>
              <a:ln>
                <a:no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[表格.xls]Sheet1!$A$62:$A$63</c:f>
              <c:strCache>
                <c:ptCount val="2"/>
                <c:pt idx="0">
                  <c:v>2025年</c:v>
                </c:pt>
                <c:pt idx="1">
                  <c:v>2024年</c:v>
                </c:pt>
              </c:strCache>
            </c:strRef>
          </c:cat>
          <c:val>
            <c:numRef>
              <c:f>[表格.xls]Sheet1!$B$62:$B$63</c:f>
              <c:numCache>
                <c:formatCode>General</c:formatCode>
                <c:ptCount val="2"/>
                <c:pt idx="0">
                  <c:v>48.24</c:v>
                </c:pt>
                <c:pt idx="1">
                  <c:v>44.41</c:v>
                </c:pt>
              </c:numCache>
            </c:numRef>
          </c:val>
        </c:ser>
        <c:dLbls>
          <c:showLegendKey val="false"/>
          <c:showVal val="false"/>
          <c:showCatName val="false"/>
          <c:showSerName val="false"/>
          <c:showPercent val="false"/>
          <c:showBubbleSize val="false"/>
        </c:dLbls>
        <c:gapWidth val="219"/>
        <c:overlap val="-27"/>
        <c:axId val="632326459"/>
        <c:axId val="22135262"/>
      </c:barChart>
      <c:catAx>
        <c:axId val="632326459"/>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2135262"/>
        <c:crosses val="autoZero"/>
        <c:auto val="true"/>
        <c:lblAlgn val="ctr"/>
        <c:lblOffset val="100"/>
        <c:noMultiLvlLbl val="false"/>
      </c:catAx>
      <c:valAx>
        <c:axId val="2213526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232645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manualLayout>
          <c:xMode val="edge"/>
          <c:yMode val="edge"/>
          <c:x val="0.27625"/>
          <c:y val="0.0694444444444444"/>
        </c:manualLayout>
      </c:layout>
      <c:overlay val="false"/>
      <c:spPr>
        <a:noFill/>
        <a:ln>
          <a:noFill/>
        </a:ln>
        <a:effectLst/>
      </c:spPr>
    </c:title>
    <c:autoTitleDeleted val="false"/>
    <c:plotArea>
      <c:layout/>
      <c:pieChart>
        <c:varyColors val="true"/>
        <c:ser>
          <c:idx val="0"/>
          <c:order val="0"/>
          <c:tx>
            <c:strRef>
              <c:f>[表格.xls]Sheet1!$A$82</c:f>
              <c:strCache>
                <c:ptCount val="1"/>
                <c:pt idx="0">
                  <c:v>灾害防治及应急管理支出</c:v>
                </c:pt>
              </c:strCache>
            </c:strRef>
          </c:tx>
          <c:spPr>
            <a:scene3d>
              <a:camera prst="orthographicFront"/>
              <a:lightRig rig="threePt" dir="t"/>
            </a:scene3d>
            <a:sp3d contourW="25400"/>
          </c:spPr>
          <c:explosion val="0"/>
          <c:dPt>
            <c:idx val="0"/>
            <c:bubble3D val="false"/>
            <c:spPr>
              <a:solidFill>
                <a:schemeClr val="accent1"/>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48.24万元 100%</a:t>
                    </a:r>
                  </a:p>
                </c:rich>
              </c:tx>
              <c:dLblPos val="bestFit"/>
              <c:showLegendKey val="false"/>
              <c:showVal val="tru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[表格.xls]Sheet1!$A$82</c:f>
              <c:strCache>
                <c:ptCount val="1"/>
                <c:pt idx="0">
                  <c:v>灾害防治及应急管理支出</c:v>
                </c:pt>
              </c:strCache>
            </c:strRef>
          </c:cat>
          <c:val>
            <c:numRef>
              <c:f>[表格.xls]Sheet1!$B$82</c:f>
              <c:numCache>
                <c:formatCode>General</c:formatCode>
                <c:ptCount val="1"/>
                <c:pt idx="0">
                  <c:v>48.24</c:v>
                </c:pt>
              </c:numCache>
            </c:numRef>
          </c:val>
        </c:ser>
        <c:ser>
          <c:idx val="1"/>
          <c:order val="1"/>
          <c:tx>
            <c:strRef>
              <c:f>[表格.xls]Sheet1!$A$82</c:f>
              <c:strCache>
                <c:ptCount val="1"/>
                <c:pt idx="0">
                  <c:v>灾害防治及应急管理支出</c:v>
                </c:pt>
              </c:strCache>
            </c:strRef>
          </c:tx>
          <c:spPr/>
          <c:explosion val="0"/>
          <c:dPt>
            <c:idx val="0"/>
            <c:bubble3D val="false"/>
            <c:spPr>
              <a:solidFill>
                <a:schemeClr val="accent1"/>
              </a:solidFill>
              <a:ln w="2540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[表格.xls]Sheet1!$A$82</c:f>
              <c:strCache>
                <c:ptCount val="1"/>
                <c:pt idx="0">
                  <c:v>灾害防治及应急管理支出</c:v>
                </c:pt>
              </c:strCache>
            </c:strRef>
          </c:cat>
          <c:val>
            <c:numRef>
              <c:f>{1}</c:f>
              <c:numCache>
                <c:formatCode>General</c:formatCode>
                <c:ptCount val="1"/>
                <c:pt idx="0">
                  <c:v>1</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367083333333333"/>
          <c:y val="0.84861111111111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8856</Words>
  <Characters>10572</Characters>
  <TotalTime>27</TotalTime>
  <ScaleCrop>false</ScaleCrop>
  <LinksUpToDate>false</LinksUpToDate>
  <CharactersWithSpaces>11573</CharactersWithSpaces>
  <Application>WPS Office_11.8.2.10251_F1E327BC-269C-435d-A152-05C5408002CA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2026-06-03T10:05:00Z</dcterms:created>
  <dc:creator>admin</dc:creator>
  <cp:lastModifiedBy>kylin</cp:lastModifiedBy>
  <cp:lastPrinted>2026-09-01T16:47:00Z</cp:lastPrinted>
  <dcterms:modified xsi:type="dcterms:W3CDTF">2026-09-01T09:53:16Z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2026-05-25T10:06:10Z</vt:filetime>
  </property>
  <property fmtid="{D5CDD505-2E9C-101B-9397-08002B2CF9AE}" pid="4" name="KSOTemplateDocerSaveRecord">
    <vt:lpwstr>eyJoZGlkIjoiNGRmMDE0YmUxM2EyNWRhZDIxYjlmMzgzN2IxNzFlZjciLCJ1c2VySWQiOiIzOTg1NzUzMzgifQ==</vt:lpwstr>
  </property>
  <property fmtid="{D5CDD505-2E9C-101B-9397-08002B2CF9AE}" pid="5" name="KSOProductBuildVer">
    <vt:lpwstr>2052-11.8.2.10251</vt:lpwstr>
  </property>
  <property fmtid="{D5CDD505-2E9C-101B-9397-08002B2CF9AE}" pid="6" name="ICV">
    <vt:lpwstr>CAB0A7A28B294258BD45A56DB963A65A_13</vt:lpwstr>
  </property>
</Properties>
</file>