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3"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pStyle w:val="5"/>
        <w:spacing w:line="254" w:lineRule="auto"/>
        <w:rPr>
          <w:rFonts w:hint="default" w:ascii="Times New Roman" w:hAnsi="Times New Roman" w:cs="Times New Roman"/>
          <w:color w:val="auto"/>
          <w:highlight w:val="none"/>
        </w:rPr>
      </w:pPr>
    </w:p>
    <w:p>
      <w:pPr>
        <w:spacing w:before="279" w:line="195" w:lineRule="auto"/>
        <w:ind w:right="1054"/>
        <w:jc w:val="center"/>
        <w:rPr>
          <w:rFonts w:hint="default" w:ascii="Times New Roman" w:hAnsi="Times New Roman" w:eastAsia="方正小标宋_GBK" w:cs="Times New Roman"/>
          <w:color w:val="auto"/>
          <w:spacing w:val="-8"/>
          <w:sz w:val="72"/>
          <w:szCs w:val="72"/>
          <w:highlight w:val="none"/>
          <w:lang w:val="en-US" w:eastAsia="zh-CN"/>
        </w:rPr>
      </w:pPr>
      <w:r>
        <w:rPr>
          <w:rFonts w:hint="eastAsia" w:ascii="Times New Roman" w:hAnsi="Times New Roman" w:eastAsia="方正小标宋_GBK" w:cs="Times New Roman"/>
          <w:color w:val="auto"/>
          <w:spacing w:val="-8"/>
          <w:sz w:val="72"/>
          <w:szCs w:val="72"/>
          <w:highlight w:val="none"/>
          <w:lang w:val="en-US" w:eastAsia="zh-CN"/>
        </w:rPr>
        <w:t xml:space="preserve">   安仁县消防救援大队</w:t>
      </w:r>
    </w:p>
    <w:p>
      <w:pPr>
        <w:spacing w:before="279" w:line="195" w:lineRule="auto"/>
        <w:ind w:right="1054"/>
        <w:jc w:val="center"/>
        <w:rPr>
          <w:rFonts w:hint="default" w:ascii="Times New Roman" w:hAnsi="Times New Roman" w:eastAsia="方正小标宋_GBK" w:cs="Times New Roman"/>
          <w:color w:val="auto"/>
          <w:sz w:val="72"/>
          <w:szCs w:val="72"/>
          <w:highlight w:val="none"/>
        </w:rPr>
      </w:pPr>
      <w:r>
        <w:rPr>
          <w:rFonts w:hint="eastAsia" w:ascii="Times New Roman" w:hAnsi="Times New Roman" w:eastAsia="宋体" w:cs="Times New Roman"/>
          <w:color w:val="auto"/>
          <w:spacing w:val="-2"/>
          <w:sz w:val="72"/>
          <w:szCs w:val="72"/>
          <w:highlight w:val="none"/>
          <w:lang w:val="en-US" w:eastAsia="zh-CN"/>
        </w:rPr>
        <w:t xml:space="preserve">    </w:t>
      </w: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 xml:space="preserve">5 </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pPr>
        <w:pStyle w:val="5"/>
        <w:spacing w:line="251" w:lineRule="auto"/>
        <w:rPr>
          <w:rFonts w:hint="default" w:ascii="Times New Roman" w:hAnsi="Times New Roman" w:cs="Times New Roman"/>
          <w:color w:val="auto"/>
          <w:highlight w:val="none"/>
        </w:rPr>
      </w:pPr>
    </w:p>
    <w:p>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5648"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6"/>
                    <a:stretch>
                      <a:fillRect/>
                    </a:stretch>
                  </pic:blipFill>
                  <pic:spPr>
                    <a:xfrm>
                      <a:off x="0" y="0"/>
                      <a:ext cx="2341245" cy="2186305"/>
                    </a:xfrm>
                    <a:prstGeom prst="rect">
                      <a:avLst/>
                    </a:prstGeom>
                    <a:noFill/>
                    <a:ln>
                      <a:noFill/>
                    </a:ln>
                  </pic:spPr>
                </pic:pic>
              </a:graphicData>
            </a:graphic>
          </wp:anchor>
        </w:drawing>
      </w:r>
    </w:p>
    <w:p>
      <w:pPr>
        <w:pStyle w:val="5"/>
        <w:spacing w:line="251" w:lineRule="auto"/>
        <w:rPr>
          <w:rFonts w:hint="default" w:ascii="Times New Roman" w:hAnsi="Times New Roman" w:cs="Times New Roman"/>
          <w:color w:val="auto"/>
          <w:highlight w:val="none"/>
        </w:rPr>
      </w:pPr>
    </w:p>
    <w:p>
      <w:pPr>
        <w:pStyle w:val="5"/>
        <w:spacing w:line="251" w:lineRule="auto"/>
        <w:rPr>
          <w:rFonts w:hint="default" w:ascii="Times New Roman" w:hAnsi="Times New Roman" w:cs="Times New Roman"/>
          <w:color w:val="auto"/>
          <w:highlight w:val="none"/>
        </w:rPr>
      </w:pPr>
    </w:p>
    <w:p>
      <w:pPr>
        <w:pStyle w:val="5"/>
        <w:spacing w:line="251"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pStyle w:val="5"/>
        <w:spacing w:line="252" w:lineRule="auto"/>
        <w:rPr>
          <w:rFonts w:hint="default" w:ascii="Times New Roman" w:hAnsi="Times New Roman" w:cs="Times New Roman"/>
          <w:color w:val="auto"/>
          <w:highlight w:val="none"/>
        </w:rPr>
      </w:pPr>
    </w:p>
    <w:p>
      <w:pPr>
        <w:spacing w:line="3137" w:lineRule="exact"/>
        <w:ind w:firstLine="2685"/>
        <w:rPr>
          <w:rFonts w:hint="default" w:ascii="Times New Roman" w:hAnsi="Times New Roman" w:cs="Times New Roman"/>
          <w:color w:val="auto"/>
          <w:highlight w:val="none"/>
        </w:rPr>
      </w:pPr>
    </w:p>
    <w:p>
      <w:pPr>
        <w:spacing w:line="3137" w:lineRule="exact"/>
        <w:rPr>
          <w:rFonts w:hint="default" w:ascii="Times New Roman" w:hAnsi="Times New Roman" w:cs="Times New Roman"/>
          <w:color w:val="auto"/>
          <w:highlight w:val="none"/>
        </w:rPr>
        <w:sectPr>
          <w:pgSz w:w="11907" w:h="16839"/>
          <w:pgMar w:top="2098" w:right="1531" w:bottom="1531" w:left="1531" w:header="0" w:footer="0" w:gutter="0"/>
          <w:pgBorders>
            <w:top w:val="none" w:sz="0" w:space="0"/>
            <w:left w:val="none" w:sz="0" w:space="0"/>
            <w:bottom w:val="none" w:sz="0" w:space="0"/>
            <w:right w:val="none" w:sz="0" w:space="0"/>
          </w:pgBorders>
          <w:pgNumType w:fmt="decimal"/>
          <w:cols w:space="720" w:num="1"/>
        </w:sectPr>
      </w:pPr>
    </w:p>
    <w:p>
      <w:pPr>
        <w:pStyle w:val="5"/>
        <w:spacing w:line="297" w:lineRule="auto"/>
        <w:rPr>
          <w:rFonts w:hint="default" w:ascii="Times New Roman" w:hAnsi="Times New Roman" w:cs="Times New Roman"/>
          <w:color w:val="auto"/>
          <w:highlight w:val="none"/>
        </w:rPr>
      </w:pPr>
    </w:p>
    <w:sdt>
      <w:sdtPr>
        <w:rPr>
          <w:rFonts w:hint="eastAsia" w:ascii="方正楷体_GBK" w:hAnsi="方正楷体_GBK" w:eastAsia="方正楷体_GBK" w:cs="方正楷体_GBK"/>
          <w:snapToGrid w:val="0"/>
          <w:color w:val="000000"/>
          <w:kern w:val="0"/>
          <w:sz w:val="28"/>
          <w:szCs w:val="28"/>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pPr>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bookmarkStart w:id="0" w:name="bookmark1"/>
          <w:bookmarkEnd w:id="0"/>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7"/>
              <w:sz w:val="28"/>
              <w:szCs w:val="28"/>
              <w:highlight w:val="none"/>
              <w:lang w:val="en-US" w:eastAsia="zh-CN"/>
            </w:rPr>
            <w:t>安仁县消防救援大队</w:t>
          </w:r>
          <w:r>
            <w:rPr>
              <w:rFonts w:hint="eastAsia" w:ascii="方正黑体_GBK" w:hAnsi="方正黑体_GBK" w:eastAsia="方正黑体_GBK" w:cs="方正黑体_GBK"/>
              <w:spacing w:val="-7"/>
              <w:sz w:val="28"/>
              <w:szCs w:val="28"/>
              <w:highlight w:val="none"/>
            </w:rPr>
            <w:t>概</w:t>
          </w:r>
          <w:r>
            <w:rPr>
              <w:rFonts w:hint="eastAsia" w:ascii="方正黑体_GBK" w:hAnsi="方正黑体_GBK" w:eastAsia="方正黑体_GBK" w:cs="方正黑体_GBK"/>
              <w:spacing w:val="-7"/>
              <w:sz w:val="28"/>
              <w:szCs w:val="28"/>
              <w:highlight w:val="none"/>
              <w:lang w:eastAsia="zh-CN"/>
            </w:rPr>
            <w:t>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_Toc1863925695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_Toc241871418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_Toc727024387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3</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7"/>
              <w:sz w:val="28"/>
              <w:szCs w:val="28"/>
              <w:highlight w:val="none"/>
              <w:lang w:val="en-US" w:eastAsia="zh-CN"/>
            </w:rPr>
            <w:t>安仁县消防救援大队</w:t>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HYPERLINK \l _Toc1643600123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w:t>
          </w:r>
          <w:r>
            <w:rPr>
              <w:rFonts w:hint="eastAsia" w:ascii="方正黑体_GBK" w:hAnsi="方正黑体_GBK" w:eastAsia="方正黑体_GBK" w:cs="方正黑体_GBK"/>
              <w:spacing w:val="-1"/>
              <w:sz w:val="28"/>
              <w:szCs w:val="28"/>
              <w:highlight w:val="none"/>
              <w:lang w:eastAsia="zh-CN"/>
            </w:rPr>
            <w:t>经费</w:t>
          </w:r>
          <w:r>
            <w:rPr>
              <w:rFonts w:hint="eastAsia" w:ascii="方正黑体_GBK" w:hAnsi="方正黑体_GBK" w:eastAsia="方正黑体_GBK" w:cs="方正黑体_GBK"/>
              <w:spacing w:val="-1"/>
              <w:sz w:val="28"/>
              <w:szCs w:val="28"/>
              <w:highlight w:val="none"/>
            </w:rPr>
            <w:t>决算表</w:t>
          </w:r>
          <w:r>
            <w:rPr>
              <w:rFonts w:hint="eastAsia" w:ascii="方正黑体_GBK" w:hAnsi="方正黑体_GBK" w:eastAsia="方正黑体_GBK" w:cs="方正黑体_GBK"/>
              <w:spacing w:val="-1"/>
              <w:sz w:val="28"/>
              <w:szCs w:val="28"/>
              <w:highlight w:val="none"/>
            </w:rPr>
            <w:tab/>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PAGEREF _Toc1643600123 \h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5</w:t>
          </w:r>
          <w:r>
            <w:rPr>
              <w:rFonts w:hint="eastAsia" w:ascii="方正黑体_GBK" w:hAnsi="方正黑体_GBK" w:eastAsia="方正黑体_GBK" w:cs="方正黑体_GBK"/>
              <w:spacing w:val="-1"/>
              <w:sz w:val="28"/>
              <w:szCs w:val="28"/>
              <w:highlight w:val="none"/>
            </w:rPr>
            <w:fldChar w:fldCharType="end"/>
          </w:r>
          <w:r>
            <w:rPr>
              <w:rFonts w:hint="eastAsia" w:ascii="方正黑体_GBK" w:hAnsi="方正黑体_GBK" w:eastAsia="方正黑体_GBK" w:cs="方正黑体_GBK"/>
              <w:spacing w:val="-1"/>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6</w:t>
          </w:r>
          <w:r>
            <w:rPr>
              <w:rFonts w:hint="default"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9</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4</w:t>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_Toc1054484946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_Toc631281580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_Toc1943210716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_Toc293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_Toc990742335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18</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_Toc1175641081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五、</w:t>
          </w:r>
          <w:r>
            <w:rPr>
              <w:rFonts w:hint="eastAsia" w:ascii="方正楷体_GBK" w:hAnsi="方正楷体_GBK" w:eastAsia="方正楷体_GBK" w:cs="方正楷体_GBK"/>
              <w:spacing w:val="-46"/>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_Toc1175641081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19</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_Toc1951277322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六、</w:t>
          </w:r>
          <w:r>
            <w:rPr>
              <w:rFonts w:hint="eastAsia" w:ascii="方正楷体_GBK" w:hAnsi="方正楷体_GBK" w:eastAsia="方正楷体_GBK" w:cs="方正楷体_GBK"/>
              <w:spacing w:val="-45"/>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一般公共预算财政拨款基本支出决算情况说明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_Toc1951277322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23</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_Toc660977863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24</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_Toc286975877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_Toc13169103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_Toc1738618549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_Toc642847263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_Toc1511929582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38</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r>
            <w:rPr>
              <w:rFonts w:hint="eastAsia" w:ascii="方正楷体_GBK" w:hAnsi="方正楷体_GBK" w:eastAsia="方正楷体_GBK" w:cs="方正楷体_GBK"/>
              <w:color w:val="auto"/>
              <w:sz w:val="28"/>
              <w:szCs w:val="28"/>
              <w:highlight w:val="none"/>
            </w:rPr>
            <w:fldChar w:fldCharType="end"/>
          </w:r>
        </w:p>
      </w:sdtContent>
    </w:sdt>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5"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-14605</wp:posOffset>
                </wp:positionH>
                <wp:positionV relativeFrom="paragraph">
                  <wp:posOffset>47625</wp:posOffset>
                </wp:positionV>
                <wp:extent cx="7560945" cy="1800225"/>
                <wp:effectExtent l="0" t="0" r="1905" b="9525"/>
                <wp:wrapNone/>
                <wp:docPr id="4" name="Rect 4"/>
                <wp:cNvGraphicFramePr/>
                <a:graphic xmlns:a="http://schemas.openxmlformats.org/drawingml/2006/main">
                  <a:graphicData uri="http://schemas.microsoft.com/office/word/2010/wordprocessingShape">
                    <wps:wsp>
                      <wps:cNvSpPr/>
                      <wps:spPr>
                        <a:xfrm>
                          <a:off x="0" y="-39914"/>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1.15pt;margin-top:3.75pt;height:141.75pt;width:595.35pt;z-index:-251656192;mso-width-relative:page;mso-height-relative:page;" fillcolor="#92D050" filled="t" stroked="f" coordsize="21600,21600" o:gfxdata="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1mlz/tcAAAAJAQAADwAAAAAAAAABACAAAAAiAAAAZHJzL2Rv&#10;d25yZXYueG1sUEsBAhQAFAAAAAgAh07iQJ2AoGY7AgAAiQQAAA4AAAAAAAAAAQAgAAAAJgEAAGRy&#10;cy9lMm9Eb2MueG1sUEsFBgAAAAAGAAYAWQEAANMFA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6" o:spid="_x0000_s1026" style="position:absolute;left:0pt;margin-left:9.65pt;margin-top:3.9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pPr>
        <w:pStyle w:val="5"/>
        <w:spacing w:line="256" w:lineRule="auto"/>
        <w:rPr>
          <w:rFonts w:hint="default" w:ascii="Times New Roman" w:hAnsi="Times New Roman" w:cs="Times New Roman"/>
          <w:color w:val="auto"/>
          <w:highlight w:val="none"/>
        </w:rPr>
      </w:pPr>
    </w:p>
    <w:p>
      <w:pPr>
        <w:pStyle w:val="5"/>
        <w:spacing w:line="256" w:lineRule="auto"/>
        <w:rPr>
          <w:rFonts w:hint="default" w:ascii="Times New Roman" w:hAnsi="Times New Roman" w:cs="Times New Roman"/>
          <w:color w:val="auto"/>
          <w:highlight w:val="none"/>
        </w:rPr>
      </w:pPr>
    </w:p>
    <w:p>
      <w:pPr>
        <w:spacing w:before="190" w:line="232" w:lineRule="auto"/>
        <w:ind w:firstLine="708" w:firstLineChars="100"/>
        <w:outlineLvl w:val="0"/>
        <w:rPr>
          <w:rFonts w:hint="eastAsia" w:ascii="方正黑体_GBK" w:hAnsi="方正黑体_GBK" w:eastAsia="方正黑体_GBK" w:cs="方正黑体_GBK"/>
          <w:color w:val="auto"/>
          <w:sz w:val="72"/>
          <w:szCs w:val="72"/>
          <w:highlight w:val="none"/>
          <w:lang w:eastAsia="zh-CN"/>
        </w:rPr>
        <w:sectPr>
          <w:footerReference r:id="rId6" w:type="default"/>
          <w:pgSz w:w="11907" w:h="16839"/>
          <w:pgMar w:top="1431" w:right="0" w:bottom="1434" w:left="0" w:header="0" w:footer="1067" w:gutter="0"/>
          <w:pgBorders>
            <w:top w:val="none" w:sz="0" w:space="0"/>
            <w:left w:val="none" w:sz="0" w:space="0"/>
            <w:bottom w:val="none" w:sz="0" w:space="0"/>
            <w:right w:val="none" w:sz="0" w:space="0"/>
          </w:pgBorders>
          <w:pgNumType w:fmt="decimal" w:start="1"/>
          <w:cols w:space="720" w:num="1"/>
        </w:sectPr>
      </w:pPr>
      <w:bookmarkStart w:id="1" w:name="_Toc509477910"/>
      <w:r>
        <w:rPr>
          <w:rFonts w:hint="eastAsia" w:ascii="方正黑体_GBK" w:hAnsi="方正黑体_GBK" w:eastAsia="方正黑体_GBK" w:cs="方正黑体_GBK"/>
          <w:color w:val="auto"/>
          <w:spacing w:val="-6"/>
          <w:sz w:val="72"/>
          <w:szCs w:val="72"/>
          <w:highlight w:val="none"/>
        </w:rPr>
        <w:t>第一部分</w:t>
      </w:r>
      <w:bookmarkEnd w:id="1"/>
      <w:bookmarkStart w:id="2" w:name="_Toc1863925695"/>
      <w:r>
        <w:rPr>
          <w:rFonts w:hint="eastAsia" w:ascii="方正黑体_GBK" w:hAnsi="方正黑体_GBK" w:eastAsia="方正黑体_GBK" w:cs="方正黑体_GBK"/>
          <w:color w:val="auto"/>
          <w:sz w:val="72"/>
          <w:szCs w:val="72"/>
          <w:highlight w:val="none"/>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3" w:name="bookmark2"/>
      <w:bookmarkEnd w:id="3"/>
      <w:r>
        <w:rPr>
          <w:rFonts w:hint="eastAsia" w:ascii="方正黑体_GBK" w:hAnsi="方正黑体_GBK" w:eastAsia="方正黑体_GBK" w:cs="方正黑体_GBK"/>
          <w:color w:val="auto"/>
          <w:spacing w:val="-6"/>
          <w:sz w:val="72"/>
          <w:szCs w:val="72"/>
          <w:highlight w:val="none"/>
          <w:lang w:val="en-US" w:eastAsia="zh-CN"/>
        </w:rPr>
        <w:t xml:space="preserve">  </w:t>
      </w:r>
      <w:r>
        <w:rPr>
          <w:rFonts w:hint="eastAsia" w:ascii="方正黑体_GBK" w:hAnsi="方正黑体_GBK" w:eastAsia="方正黑体_GBK" w:cs="方正黑体_GBK"/>
          <w:color w:val="auto"/>
          <w:spacing w:val="-7"/>
          <w:sz w:val="72"/>
          <w:szCs w:val="72"/>
          <w:highlight w:val="none"/>
          <w:lang w:val="en-US" w:eastAsia="zh-CN"/>
        </w:rPr>
        <w:t>安仁县消防救援大队</w:t>
      </w:r>
      <w:r>
        <w:rPr>
          <w:rFonts w:hint="eastAsia" w:ascii="方正黑体_GBK" w:hAnsi="方正黑体_GBK" w:eastAsia="方正黑体_GBK" w:cs="方正黑体_GBK"/>
          <w:color w:val="auto"/>
          <w:spacing w:val="-7"/>
          <w:sz w:val="72"/>
          <w:szCs w:val="72"/>
          <w:highlight w:val="none"/>
        </w:rPr>
        <w:t>概</w:t>
      </w:r>
      <w:r>
        <w:rPr>
          <w:rFonts w:hint="eastAsia" w:ascii="方正黑体_GBK" w:hAnsi="方正黑体_GBK" w:eastAsia="方正黑体_GBK" w:cs="方正黑体_GBK"/>
          <w:color w:val="auto"/>
          <w:spacing w:val="-7"/>
          <w:sz w:val="72"/>
          <w:szCs w:val="72"/>
          <w:highlight w:val="none"/>
          <w:lang w:eastAsia="zh-CN"/>
        </w:rPr>
        <w:t>况</w:t>
      </w:r>
      <w:bookmarkEnd w:id="2"/>
    </w:p>
    <w:p>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4" w:name="_Toc241871418"/>
      <w:r>
        <w:rPr>
          <w:rFonts w:hint="eastAsia" w:ascii="方正黑体_GBK" w:hAnsi="方正黑体_GBK" w:eastAsia="方正黑体_GBK" w:cs="方正黑体_GBK"/>
          <w:sz w:val="32"/>
          <w:szCs w:val="32"/>
        </w:rPr>
        <w:t>一、</w:t>
      </w:r>
      <w:r>
        <w:rPr>
          <w:rFonts w:hint="eastAsia" w:ascii="方正黑体_GBK" w:hAnsi="方正黑体_GBK" w:eastAsia="方正黑体_GBK" w:cs="方正黑体_GBK"/>
          <w:sz w:val="32"/>
          <w:szCs w:val="32"/>
          <w:lang w:eastAsia="zh-CN"/>
        </w:rPr>
        <w:t>主要</w:t>
      </w:r>
      <w:r>
        <w:rPr>
          <w:rFonts w:hint="eastAsia" w:ascii="方正黑体_GBK" w:hAnsi="方正黑体_GBK" w:eastAsia="方正黑体_GBK" w:cs="方正黑体_GBK"/>
          <w:sz w:val="32"/>
          <w:szCs w:val="32"/>
        </w:rPr>
        <w:t>职责</w:t>
      </w:r>
      <w:bookmarkEnd w:id="4"/>
    </w:p>
    <w:p>
      <w:pPr>
        <w:keepNext w:val="0"/>
        <w:keepLines w:val="0"/>
        <w:pageBreakBefore w:val="0"/>
        <w:widowControl w:val="0"/>
        <w:kinsoku/>
        <w:wordWrap/>
        <w:overflowPunct/>
        <w:topLinePunct w:val="0"/>
        <w:autoSpaceDE w:val="0"/>
        <w:autoSpaceDN w:val="0"/>
        <w:bidi w:val="0"/>
        <w:adjustRightInd/>
        <w:snapToGrid/>
        <w:spacing w:before="138" w:line="540" w:lineRule="exact"/>
        <w:ind w:left="1" w:firstLine="674"/>
        <w:jc w:val="left"/>
        <w:textAlignment w:val="auto"/>
        <w:rPr>
          <w:rFonts w:hint="eastAsia" w:ascii="方正仿宋_GBK" w:hAnsi="方正仿宋_GBK" w:eastAsia="方正仿宋_GBK" w:cs="方正仿宋_GBK"/>
          <w:snapToGrid/>
          <w:spacing w:val="8"/>
          <w:kern w:val="0"/>
          <w:sz w:val="32"/>
          <w:szCs w:val="32"/>
          <w:lang w:val="zh-CN" w:eastAsia="zh-CN" w:bidi="zh-CN"/>
        </w:rPr>
      </w:pPr>
      <w:bookmarkStart w:id="5" w:name="_Toc727024387"/>
      <w:r>
        <w:rPr>
          <w:rFonts w:hint="eastAsia" w:ascii="方正仿宋_GBK" w:hAnsi="方正仿宋_GBK" w:eastAsia="方正仿宋_GBK" w:cs="方正仿宋_GBK"/>
          <w:snapToGrid/>
          <w:spacing w:val="8"/>
          <w:kern w:val="0"/>
          <w:sz w:val="32"/>
          <w:szCs w:val="32"/>
          <w:lang w:val="en-US" w:eastAsia="zh-CN" w:bidi="zh-CN"/>
        </w:rPr>
        <w:t>安仁县</w:t>
      </w:r>
      <w:r>
        <w:rPr>
          <w:rFonts w:hint="eastAsia" w:ascii="方正仿宋_GBK" w:hAnsi="方正仿宋_GBK" w:eastAsia="方正仿宋_GBK" w:cs="方正仿宋_GBK"/>
          <w:snapToGrid/>
          <w:spacing w:val="8"/>
          <w:kern w:val="0"/>
          <w:sz w:val="32"/>
          <w:szCs w:val="32"/>
          <w:lang w:val="zh-CN" w:eastAsia="zh-CN" w:bidi="zh-CN"/>
        </w:rPr>
        <w:t>消防救援</w:t>
      </w:r>
      <w:r>
        <w:rPr>
          <w:rFonts w:hint="eastAsia" w:ascii="方正仿宋_GBK" w:hAnsi="方正仿宋_GBK" w:eastAsia="方正仿宋_GBK" w:cs="方正仿宋_GBK"/>
          <w:snapToGrid/>
          <w:spacing w:val="8"/>
          <w:kern w:val="0"/>
          <w:sz w:val="32"/>
          <w:szCs w:val="32"/>
          <w:lang w:val="en-US" w:eastAsia="zh-CN" w:bidi="zh-CN"/>
        </w:rPr>
        <w:t>大</w:t>
      </w:r>
      <w:r>
        <w:rPr>
          <w:rFonts w:hint="eastAsia" w:ascii="方正仿宋_GBK" w:hAnsi="方正仿宋_GBK" w:eastAsia="方正仿宋_GBK" w:cs="方正仿宋_GBK"/>
          <w:snapToGrid/>
          <w:spacing w:val="8"/>
          <w:kern w:val="0"/>
          <w:sz w:val="32"/>
          <w:szCs w:val="32"/>
          <w:lang w:val="zh-CN" w:eastAsia="zh-CN" w:bidi="zh-CN"/>
        </w:rPr>
        <w:t>队由湖南省消防救援总队</w:t>
      </w:r>
      <w:r>
        <w:rPr>
          <w:rFonts w:hint="eastAsia" w:ascii="方正仿宋_GBK" w:hAnsi="方正仿宋_GBK" w:eastAsia="方正仿宋_GBK" w:cs="方正仿宋_GBK"/>
          <w:snapToGrid/>
          <w:spacing w:val="8"/>
          <w:kern w:val="0"/>
          <w:sz w:val="32"/>
          <w:szCs w:val="32"/>
          <w:lang w:val="en-US" w:eastAsia="zh-CN" w:bidi="zh-CN"/>
        </w:rPr>
        <w:t>及</w:t>
      </w:r>
      <w:r>
        <w:rPr>
          <w:rFonts w:hint="eastAsia" w:ascii="方正仿宋_GBK" w:hAnsi="方正仿宋_GBK" w:eastAsia="方正仿宋_GBK" w:cs="方正仿宋_GBK"/>
          <w:snapToGrid/>
          <w:spacing w:val="8"/>
          <w:kern w:val="0"/>
          <w:sz w:val="32"/>
          <w:szCs w:val="32"/>
          <w:lang w:val="zh-CN" w:eastAsia="zh-CN" w:bidi="zh-CN"/>
        </w:rPr>
        <w:t>郴州市消防救援支队领导，是全</w:t>
      </w:r>
      <w:r>
        <w:rPr>
          <w:rFonts w:hint="eastAsia" w:ascii="方正仿宋_GBK" w:hAnsi="方正仿宋_GBK" w:eastAsia="方正仿宋_GBK" w:cs="方正仿宋_GBK"/>
          <w:snapToGrid/>
          <w:spacing w:val="8"/>
          <w:kern w:val="0"/>
          <w:sz w:val="32"/>
          <w:szCs w:val="32"/>
          <w:lang w:val="en-US" w:eastAsia="zh-CN" w:bidi="zh-CN"/>
        </w:rPr>
        <w:t>县</w:t>
      </w:r>
      <w:r>
        <w:rPr>
          <w:rFonts w:hint="eastAsia" w:ascii="方正仿宋_GBK" w:hAnsi="方正仿宋_GBK" w:eastAsia="方正仿宋_GBK" w:cs="方正仿宋_GBK"/>
          <w:snapToGrid/>
          <w:spacing w:val="8"/>
          <w:kern w:val="0"/>
          <w:sz w:val="32"/>
          <w:szCs w:val="32"/>
          <w:lang w:val="zh-CN" w:eastAsia="zh-CN" w:bidi="zh-CN"/>
        </w:rPr>
        <w:t>消防救援队伍的领导指挥机关。消防救援队伍承担防范化解重大安全风险、应对处置各类灾害事故的重要职责，是应急救援的主力军和国家队。依据有关法律法规，</w:t>
      </w:r>
      <w:r>
        <w:rPr>
          <w:rFonts w:hint="eastAsia" w:ascii="方正仿宋_GBK" w:hAnsi="方正仿宋_GBK" w:eastAsia="方正仿宋_GBK" w:cs="方正仿宋_GBK"/>
          <w:snapToGrid/>
          <w:spacing w:val="8"/>
          <w:kern w:val="0"/>
          <w:sz w:val="32"/>
          <w:szCs w:val="32"/>
          <w:lang w:val="en-US" w:eastAsia="zh-CN" w:bidi="zh-CN"/>
        </w:rPr>
        <w:t>安仁县</w:t>
      </w:r>
      <w:r>
        <w:rPr>
          <w:rFonts w:hint="eastAsia" w:ascii="方正仿宋_GBK" w:hAnsi="方正仿宋_GBK" w:eastAsia="方正仿宋_GBK" w:cs="方正仿宋_GBK"/>
          <w:snapToGrid/>
          <w:spacing w:val="8"/>
          <w:kern w:val="0"/>
          <w:sz w:val="32"/>
          <w:szCs w:val="32"/>
          <w:lang w:val="zh-CN" w:eastAsia="zh-CN" w:bidi="zh-CN"/>
        </w:rPr>
        <w:t>消防救援</w:t>
      </w:r>
      <w:r>
        <w:rPr>
          <w:rFonts w:hint="eastAsia" w:ascii="方正仿宋_GBK" w:hAnsi="方正仿宋_GBK" w:eastAsia="方正仿宋_GBK" w:cs="方正仿宋_GBK"/>
          <w:snapToGrid/>
          <w:spacing w:val="8"/>
          <w:kern w:val="0"/>
          <w:sz w:val="32"/>
          <w:szCs w:val="32"/>
          <w:lang w:val="en-US" w:eastAsia="zh-CN" w:bidi="zh-CN"/>
        </w:rPr>
        <w:t>大</w:t>
      </w:r>
      <w:r>
        <w:rPr>
          <w:rFonts w:hint="eastAsia" w:ascii="方正仿宋_GBK" w:hAnsi="方正仿宋_GBK" w:eastAsia="方正仿宋_GBK" w:cs="方正仿宋_GBK"/>
          <w:snapToGrid/>
          <w:spacing w:val="8"/>
          <w:kern w:val="0"/>
          <w:sz w:val="32"/>
          <w:szCs w:val="32"/>
          <w:lang w:val="zh-CN" w:eastAsia="zh-CN" w:bidi="zh-CN"/>
        </w:rPr>
        <w:t>队主要履行下列职责：</w:t>
      </w:r>
      <w:bookmarkStart w:id="48" w:name="_GoBack"/>
      <w:bookmarkEnd w:id="48"/>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（一）承担城乡综合性消防救援工作，负责指挥调度相关灾害事故救援行动，承担重要会议、大型活动消防安全保卫工作。</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（二）承担火灾预防、消防监督执法以及火灾事故调查处理相关工作，依法行使消防安全综合监管职能，推动落实消防安全责任制。</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（三）参与拟订消防专项规划，参与起草地方性消防法规、规章草案并监督实施。</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（四）负责消防救援队伍综合性消防救援预案编制、战术研究和执勤备战、训练演练等工作。</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（五）负责消防救援信息化和应急通信建设，承担综合性消防救援行动应急通信保障工作。</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（六）负责消防安全宣传教育，组织指导社会消防力量建设。</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（七）负责消防应急救援专业队伍规划、建设与调度指挥，参与组织协调动员各类社会救援力量参加救援任务。</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hint="eastAsia" w:ascii="方正仿宋_GBK" w:hAnsi="方正仿宋_GBK" w:eastAsia="方正仿宋_GBK" w:cs="方正仿宋_GBK"/>
          <w:snapToGrid/>
          <w:kern w:val="0"/>
          <w:sz w:val="32"/>
          <w:szCs w:val="32"/>
          <w:lang w:val="zh-CN" w:eastAsia="zh-CN" w:bidi="zh-CN"/>
        </w:rPr>
      </w:pPr>
      <w:r>
        <w:rPr>
          <w:rFonts w:hint="eastAsia" w:ascii="方正仿宋_GBK" w:hAnsi="方正仿宋_GBK" w:eastAsia="方正仿宋_GBK" w:cs="方正仿宋_GBK"/>
          <w:snapToGrid/>
          <w:kern w:val="0"/>
          <w:sz w:val="32"/>
          <w:szCs w:val="32"/>
          <w:lang w:val="zh-CN" w:eastAsia="zh-CN" w:bidi="zh-CN"/>
        </w:rPr>
        <w:t>（八）负责消防救援队伍建设与管理。</w:t>
      </w:r>
    </w:p>
    <w:p>
      <w:pPr>
        <w:keepNext w:val="0"/>
        <w:keepLines w:val="0"/>
        <w:pageBreakBefore w:val="0"/>
        <w:widowControl w:val="0"/>
        <w:tabs>
          <w:tab w:val="left" w:pos="766"/>
        </w:tabs>
        <w:kinsoku/>
        <w:wordWrap/>
        <w:overflowPunct/>
        <w:topLinePunct w:val="0"/>
        <w:autoSpaceDE w:val="0"/>
        <w:autoSpaceDN w:val="0"/>
        <w:bidi w:val="0"/>
        <w:adjustRightInd/>
        <w:snapToGrid/>
        <w:spacing w:before="53" w:line="540" w:lineRule="exact"/>
        <w:ind w:left="7" w:firstLine="605"/>
        <w:jc w:val="left"/>
        <w:textAlignment w:val="auto"/>
        <w:rPr>
          <w:rFonts w:ascii="Times New Roman" w:hAnsi="Times New Roman" w:eastAsia="方正仿宋_GBK"/>
          <w:sz w:val="32"/>
          <w:szCs w:val="32"/>
        </w:rPr>
      </w:pPr>
      <w:r>
        <w:rPr>
          <w:rFonts w:hint="eastAsia" w:ascii="方正仿宋_GBK" w:hAnsi="方正仿宋_GBK" w:eastAsia="方正仿宋_GBK" w:cs="方正仿宋_GBK"/>
          <w:snapToGrid/>
          <w:kern w:val="0"/>
          <w:sz w:val="32"/>
          <w:szCs w:val="32"/>
          <w:lang w:val="zh-CN" w:eastAsia="zh-CN" w:bidi="zh-CN"/>
        </w:rPr>
        <w:t>（九）完成省消防救援总队</w:t>
      </w:r>
      <w:r>
        <w:rPr>
          <w:rFonts w:hint="eastAsia" w:ascii="方正仿宋_GBK" w:hAnsi="方正仿宋_GBK" w:eastAsia="方正仿宋_GBK" w:cs="方正仿宋_GBK"/>
          <w:snapToGrid/>
          <w:kern w:val="0"/>
          <w:sz w:val="32"/>
          <w:szCs w:val="32"/>
          <w:lang w:val="en-US" w:eastAsia="zh-CN" w:bidi="zh-CN"/>
        </w:rPr>
        <w:t>及</w:t>
      </w:r>
      <w:r>
        <w:rPr>
          <w:rFonts w:hint="eastAsia" w:ascii="方正仿宋_GBK" w:hAnsi="方正仿宋_GBK" w:eastAsia="方正仿宋_GBK" w:cs="方正仿宋_GBK"/>
          <w:snapToGrid/>
          <w:spacing w:val="8"/>
          <w:kern w:val="0"/>
          <w:sz w:val="32"/>
          <w:szCs w:val="32"/>
          <w:lang w:val="zh-CN" w:eastAsia="zh-CN" w:bidi="zh-CN"/>
        </w:rPr>
        <w:t>郴州市消防救援支队</w:t>
      </w:r>
      <w:r>
        <w:rPr>
          <w:rFonts w:hint="eastAsia" w:ascii="方正仿宋_GBK" w:hAnsi="方正仿宋_GBK" w:eastAsia="方正仿宋_GBK" w:cs="方正仿宋_GBK"/>
          <w:snapToGrid/>
          <w:kern w:val="0"/>
          <w:sz w:val="32"/>
          <w:szCs w:val="32"/>
          <w:lang w:val="zh-CN" w:eastAsia="zh-CN" w:bidi="zh-CN"/>
        </w:rPr>
        <w:t>和</w:t>
      </w:r>
      <w:r>
        <w:rPr>
          <w:rFonts w:hint="eastAsia" w:ascii="方正仿宋_GBK" w:hAnsi="方正仿宋_GBK" w:eastAsia="方正仿宋_GBK" w:cs="方正仿宋_GBK"/>
          <w:snapToGrid/>
          <w:kern w:val="0"/>
          <w:sz w:val="32"/>
          <w:szCs w:val="32"/>
          <w:lang w:val="en-US" w:eastAsia="zh-CN" w:bidi="zh-CN"/>
        </w:rPr>
        <w:t>县</w:t>
      </w:r>
      <w:r>
        <w:rPr>
          <w:rFonts w:hint="eastAsia" w:ascii="方正仿宋_GBK" w:hAnsi="方正仿宋_GBK" w:eastAsia="方正仿宋_GBK" w:cs="方正仿宋_GBK"/>
          <w:snapToGrid/>
          <w:kern w:val="0"/>
          <w:sz w:val="32"/>
          <w:szCs w:val="32"/>
          <w:lang w:val="zh-CN" w:eastAsia="zh-CN" w:bidi="zh-CN"/>
        </w:rPr>
        <w:t>委</w:t>
      </w:r>
      <w:r>
        <w:rPr>
          <w:rFonts w:hint="eastAsia" w:ascii="方正仿宋_GBK" w:hAnsi="方正仿宋_GBK" w:eastAsia="方正仿宋_GBK" w:cs="方正仿宋_GBK"/>
          <w:snapToGrid/>
          <w:kern w:val="0"/>
          <w:sz w:val="32"/>
          <w:szCs w:val="32"/>
          <w:lang w:val="en-US" w:eastAsia="zh-CN" w:bidi="zh-CN"/>
        </w:rPr>
        <w:t>县</w:t>
      </w:r>
      <w:r>
        <w:rPr>
          <w:rFonts w:hint="eastAsia" w:ascii="方正仿宋_GBK" w:hAnsi="方正仿宋_GBK" w:eastAsia="方正仿宋_GBK" w:cs="方正仿宋_GBK"/>
          <w:snapToGrid/>
          <w:kern w:val="0"/>
          <w:sz w:val="32"/>
          <w:szCs w:val="32"/>
          <w:lang w:val="zh-CN" w:eastAsia="zh-CN" w:bidi="zh-CN"/>
        </w:rPr>
        <w:t>政府交办的相关任务</w:t>
      </w:r>
      <w:r>
        <w:rPr>
          <w:rFonts w:hint="eastAsia" w:ascii="Times New Roman" w:hAnsi="Times New Roman" w:eastAsia="方正仿宋_GBK" w:cs="Times New Roman"/>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二、机构设置</w:t>
      </w:r>
      <w:bookmarkEnd w:id="5"/>
    </w:p>
    <w:p>
      <w:pPr>
        <w:pStyle w:val="5"/>
        <w:ind w:firstLine="640" w:firstLineChars="200"/>
        <w:rPr>
          <w:rFonts w:hint="default" w:ascii="Times New Roman" w:hAnsi="Times New Roman" w:cs="Times New Roman"/>
          <w:color w:val="auto"/>
          <w:highlight w:val="none"/>
        </w:rPr>
      </w:pPr>
      <w:r>
        <w:rPr>
          <w:rFonts w:hint="eastAsia" w:ascii="方正仿宋_GBK" w:hAnsi="方正仿宋_GBK" w:eastAsia="方正仿宋_GBK" w:cs="方正仿宋_GBK"/>
          <w:snapToGrid/>
          <w:color w:val="000000"/>
          <w:kern w:val="0"/>
          <w:sz w:val="32"/>
          <w:szCs w:val="32"/>
          <w:lang w:val="zh-CN" w:eastAsia="zh-CN" w:bidi="zh-CN"/>
        </w:rPr>
        <w:t>安仁县消防救援大队含下属单位安仁县永乐江消防救</w:t>
      </w:r>
      <w:r>
        <w:rPr>
          <w:rFonts w:hint="eastAsia" w:ascii="方正仿宋_GBK" w:hAnsi="方正仿宋_GBK" w:eastAsia="方正仿宋_GBK" w:cs="方正仿宋_GBK"/>
          <w:snapToGrid/>
          <w:color w:val="000000"/>
          <w:kern w:val="0"/>
          <w:sz w:val="32"/>
          <w:szCs w:val="32"/>
          <w:lang w:val="en-US" w:eastAsia="zh-CN" w:bidi="zh-CN"/>
        </w:rPr>
        <w:t>援站和安平政府专职消防站。</w:t>
      </w:r>
    </w:p>
    <w:p>
      <w:pPr>
        <w:rPr>
          <w:rFonts w:hint="default" w:ascii="Times New Roman" w:hAnsi="Times New Roman" w:cs="Times New Roman"/>
          <w:color w:val="auto"/>
          <w:highlight w:val="none"/>
        </w:rPr>
        <w:sectPr>
          <w:footerReference r:id="rId7" w:type="default"/>
          <w:pgSz w:w="11907" w:h="16839"/>
          <w:pgMar w:top="2098" w:right="1531" w:bottom="1531" w:left="1531" w:header="0" w:footer="1070" w:gutter="0"/>
          <w:pgBorders>
            <w:top w:val="none" w:sz="0" w:space="0"/>
            <w:left w:val="none" w:sz="0" w:space="0"/>
            <w:bottom w:val="none" w:sz="0" w:space="0"/>
            <w:right w:val="none" w:sz="0" w:space="0"/>
          </w:pgBorders>
          <w:pgNumType w:fmt="decimal"/>
          <w:cols w:space="720" w:num="1"/>
        </w:sect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-22860</wp:posOffset>
                </wp:positionH>
                <wp:positionV relativeFrom="paragraph">
                  <wp:posOffset>27940</wp:posOffset>
                </wp:positionV>
                <wp:extent cx="7672070" cy="1800225"/>
                <wp:effectExtent l="0" t="0" r="5080" b="9525"/>
                <wp:wrapNone/>
                <wp:docPr id="6" name="Rect 6"/>
                <wp:cNvGraphicFramePr/>
                <a:graphic xmlns:a="http://schemas.openxmlformats.org/drawingml/2006/main">
                  <a:graphicData uri="http://schemas.microsoft.com/office/word/2010/wordprocessingShape">
                    <wps:wsp>
                      <wps:cNvSpPr/>
                      <wps:spPr>
                        <a:xfrm>
                          <a:off x="0" y="-40334"/>
                          <a:ext cx="767207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6" o:spid="_x0000_s1026" o:spt="1" style="position:absolute;left:0pt;margin-left:-1.8pt;margin-top:2.2pt;height:141.75pt;width:604.1pt;z-index:-251653120;mso-width-relative:page;mso-height-relative:page;" fillcolor="#92D050" filled="t" stroked="f" coordsize="21600,21600" o:gfxdata="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OacmL1wAAAAkBAAAPAAAAAAAAAAEAIAAAACIAAABkcnMvZG93&#10;bnJldi54bWxQSwECFAAUAAAACACHTuJA4HIF/DoCAACJBAAADgAAAAAAAAABACAAAAAm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8" o:spid="_x0000_s1028" style="position:absolute;left:0pt;margin-left:3.05pt;margin-top:3.2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pPr>
        <w:pStyle w:val="5"/>
        <w:spacing w:line="246"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spacing w:before="190" w:line="232" w:lineRule="auto"/>
        <w:ind w:firstLine="710" w:firstLineChars="100"/>
        <w:jc w:val="both"/>
        <w:outlineLvl w:val="0"/>
        <w:rPr>
          <w:rFonts w:hint="eastAsia" w:ascii="方正黑体_GBK" w:hAnsi="方正黑体_GBK" w:eastAsia="方正黑体_GBK" w:cs="方正黑体_GBK"/>
          <w:color w:val="auto"/>
          <w:sz w:val="72"/>
          <w:szCs w:val="72"/>
          <w:highlight w:val="none"/>
        </w:rPr>
      </w:pPr>
      <w:bookmarkStart w:id="6" w:name="bookmark32"/>
      <w:bookmarkEnd w:id="6"/>
      <w:bookmarkStart w:id="7" w:name="_Toc790115687"/>
      <w:r>
        <w:rPr>
          <w:rFonts w:hint="eastAsia" w:ascii="方正黑体_GBK" w:hAnsi="方正黑体_GBK" w:eastAsia="方正黑体_GBK" w:cs="方正黑体_GBK"/>
          <w:color w:val="auto"/>
          <w:spacing w:val="-5"/>
          <w:sz w:val="72"/>
          <w:szCs w:val="72"/>
          <w:highlight w:val="none"/>
        </w:rPr>
        <w:t>第二部分</w:t>
      </w:r>
      <w:bookmarkEnd w:id="7"/>
      <w:bookmarkStart w:id="8" w:name="_Toc1643600123"/>
      <w:r>
        <w:rPr>
          <w:rFonts w:hint="eastAsia" w:ascii="方正黑体_GBK" w:hAnsi="方正黑体_GBK" w:eastAsia="方正黑体_GBK" w:cs="方正黑体_GBK"/>
          <w:color w:val="auto"/>
          <w:sz w:val="72"/>
          <w:szCs w:val="72"/>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9" w:name="bookmark5"/>
      <w:bookmarkEnd w:id="9"/>
      <w:r>
        <w:rPr>
          <w:rFonts w:hint="eastAsia" w:ascii="方正黑体_GBK" w:hAnsi="方正黑体_GBK" w:eastAsia="方正黑体_GBK" w:cs="方正黑体_GBK"/>
          <w:color w:val="auto"/>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bookmarkEnd w:id="8"/>
    </w:p>
    <w:p>
      <w:pPr>
        <w:spacing w:line="231" w:lineRule="auto"/>
        <w:rPr>
          <w:rFonts w:hint="default" w:ascii="Times New Roman" w:hAnsi="Times New Roman" w:eastAsia="方正黑体_GBK" w:cs="Times New Roman"/>
          <w:color w:val="auto"/>
          <w:sz w:val="72"/>
          <w:szCs w:val="72"/>
          <w:highlight w:val="none"/>
        </w:rPr>
        <w:sectPr>
          <w:footerReference r:id="rId8"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tbl>
      <w:tblPr>
        <w:tblStyle w:val="11"/>
        <w:tblW w:w="9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996"/>
        <w:gridCol w:w="560"/>
        <w:gridCol w:w="1309"/>
        <w:gridCol w:w="2662"/>
        <w:gridCol w:w="545"/>
        <w:gridCol w:w="12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eastAsia="方正小标宋_GBK" w:cs="Times New Roman"/>
                <w:snapToGrid w:val="0"/>
                <w:color w:val="auto"/>
                <w:sz w:val="30"/>
                <w:szCs w:val="30"/>
                <w:highlight w:val="none"/>
                <w:lang w:val="en-US" w:eastAsia="zh-CN" w:bidi="ar"/>
              </w:rPr>
              <w:br w:type="page"/>
            </w:r>
            <w:r>
              <w:rPr>
                <w:rStyle w:val="16"/>
                <w:rFonts w:hint="default" w:ascii="Times New Roman" w:hAnsi="Times New Roman" w:eastAsia="方正小标宋_GBK" w:cs="Times New Roman"/>
                <w:snapToGrid w:val="0"/>
                <w:color w:val="auto"/>
                <w:sz w:val="30"/>
                <w:szCs w:val="30"/>
                <w:highlight w:val="none"/>
                <w:lang w:val="en-US" w:eastAsia="zh-CN" w:bidi="ar"/>
              </w:rPr>
              <w:t>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556" w:type="dxa"/>
            <w:gridSpan w:val="2"/>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FFFFFF" w:themeFill="background1"/>
            <w:noWrap/>
            <w:vAlign w:val="center"/>
          </w:tcPr>
          <w:p>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FFFFFF" w:themeFill="background1"/>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公开</w:t>
            </w:r>
            <w:r>
              <w:rPr>
                <w:rStyle w:val="17"/>
                <w:rFonts w:hint="default" w:ascii="Times New Roman" w:hAnsi="Times New Roman" w:eastAsia="宋体" w:cs="Times New Roman"/>
                <w:snapToGrid w:val="0"/>
                <w:color w:val="auto"/>
                <w:highlight w:val="none"/>
                <w:lang w:val="en-US" w:eastAsia="zh-CN" w:bidi="ar"/>
              </w:rPr>
              <w:t>01</w:t>
            </w:r>
            <w:r>
              <w:rPr>
                <w:rStyle w:val="16"/>
                <w:rFonts w:hint="default" w:ascii="Times New Roman" w:hAnsi="Times New Roman" w:cs="Times New Roman"/>
                <w:snapToGrid w:val="0"/>
                <w:color w:val="auto"/>
                <w:highlight w:val="none"/>
                <w:lang w:val="en-US" w:eastAsia="zh-CN" w:bidi="ar"/>
              </w:rPr>
              <w:t>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p>
        </w:tc>
        <w:tc>
          <w:tcPr>
            <w:tcW w:w="5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309" w:type="dxa"/>
            <w:tcBorders>
              <w:top w:val="nil"/>
              <w:left w:val="nil"/>
              <w:bottom w:val="nil"/>
              <w:right w:val="nil"/>
            </w:tcBorders>
            <w:shd w:val="clear" w:color="auto" w:fill="auto"/>
            <w:noWrap/>
            <w:vAlign w:val="center"/>
          </w:tcPr>
          <w:p>
            <w:pPr>
              <w:tabs>
                <w:tab w:val="center" w:pos="546"/>
              </w:tabs>
              <w:ind w:firstLine="320" w:firstLineChars="200"/>
              <w:jc w:val="center"/>
              <w:rPr>
                <w:rFonts w:hint="default" w:ascii="Times New Roman" w:hAnsi="Times New Roman" w:eastAsia="宋体" w:cs="Times New Roman"/>
                <w:i w:val="0"/>
                <w:iCs w:val="0"/>
                <w:color w:val="auto"/>
                <w:sz w:val="16"/>
                <w:szCs w:val="16"/>
                <w:highlight w:val="none"/>
                <w:u w:val="none"/>
                <w:lang w:val="en-US" w:eastAsia="zh-CN"/>
              </w:rPr>
            </w:pPr>
          </w:p>
        </w:tc>
        <w:tc>
          <w:tcPr>
            <w:tcW w:w="2662"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54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8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收入</w:t>
            </w:r>
          </w:p>
        </w:tc>
        <w:tc>
          <w:tcPr>
            <w:tcW w:w="4480" w:type="dxa"/>
            <w:gridSpan w:val="3"/>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项目</w:t>
            </w:r>
          </w:p>
        </w:tc>
        <w:tc>
          <w:tcPr>
            <w:tcW w:w="560" w:type="dxa"/>
            <w:tcBorders>
              <w:top w:val="nil"/>
              <w:left w:val="nil"/>
              <w:bottom w:val="single" w:color="000000"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tabs>
                <w:tab w:val="left" w:pos="433"/>
                <w:tab w:val="center" w:pos="1283"/>
              </w:tabs>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ab/>
            </w:r>
            <w:r>
              <w:rPr>
                <w:rStyle w:val="16"/>
                <w:rFonts w:hint="default" w:ascii="Times New Roman" w:hAnsi="Times New Roman" w:cs="Times New Roman"/>
                <w:snapToGrid w:val="0"/>
                <w:color w:val="auto"/>
                <w:highlight w:val="none"/>
                <w:lang w:val="en-US" w:eastAsia="zh-CN" w:bidi="ar"/>
              </w:rPr>
              <w:t>项目</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行次</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60" w:type="dxa"/>
            <w:tcBorders>
              <w:top w:val="nil"/>
              <w:left w:val="nil"/>
              <w:bottom w:val="single" w:color="000000" w:sz="4" w:space="0"/>
              <w:right w:val="single" w:color="auto"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30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66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栏次</w:t>
            </w:r>
          </w:p>
        </w:tc>
        <w:tc>
          <w:tcPr>
            <w:tcW w:w="545" w:type="dxa"/>
            <w:tcBorders>
              <w:top w:val="nil"/>
              <w:left w:val="single" w:color="auto"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一、一般公共预算财政拨款收入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309" w:type="dxa"/>
            <w:tcBorders>
              <w:top w:val="single" w:color="auto"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2662" w:type="dxa"/>
            <w:tcBorders>
              <w:top w:val="single" w:color="auto"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一、一般公共服务支出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31</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二、政府性基金预算财政拨款收入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二、外交支出</w:t>
            </w:r>
            <w:r>
              <w:rPr>
                <w:rStyle w:val="17"/>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32</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三、国有资本经营预算财政拨款收入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三、国防支出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33</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四、上级补助收入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四、公共安全支出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34</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五、事业收入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五、教育支出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35</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六、经营收入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六、科学技术支出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36</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七、附属单位上缴收入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七、文化旅游体育与传媒支出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37</w:t>
            </w:r>
          </w:p>
        </w:tc>
        <w:tc>
          <w:tcPr>
            <w:tcW w:w="1273"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八、其他收入</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default" w:ascii="Times New Roman" w:hAnsi="Times New Roman" w:eastAsia="宋体" w:cs="Times New Roman"/>
                <w:i w:val="0"/>
                <w:iCs w:val="0"/>
                <w:snapToGrid w:val="0"/>
                <w:color w:val="000000"/>
                <w:kern w:val="0"/>
                <w:sz w:val="16"/>
                <w:szCs w:val="16"/>
                <w:u w:val="none"/>
                <w:lang w:val="en-US" w:eastAsia="zh-CN" w:bidi="ar"/>
              </w:rPr>
              <w:t>1,140.01</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八、社会保障和就业支出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38</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15.35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九、卫生健康支出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39</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29.48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十、节能环保支出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40</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十一、城乡社区支出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41</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十二、农林水支出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42</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13</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十三、交通运输支出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43</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14</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十四、资源勘探工业信息等支出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44</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15</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十五、商业服务业等支出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45</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16</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十六、金融支出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46</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17</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十七、援助其他地区支出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47</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18</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十八、自然资源海洋气象等支出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48</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19</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十九、住房保障支出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49</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11.08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20</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二十、粮油物资储备支出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50</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21</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二十一、国有资本经营预算支出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51</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22</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二十二、灾害防治及应急管理支出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52</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1,260.50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23</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二十三、其他支出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53</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24</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二十四、债务还本支出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54</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25</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二十五、债务付息支出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55</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26</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二十六、抗疫特别国债安排的支出</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56</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本年收入合计</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27</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1,189.79</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Style w:val="16"/>
                <w:rFonts w:hint="default" w:ascii="Times New Roman" w:hAnsi="Times New Roman" w:cs="Times New Roman"/>
                <w:snapToGrid w:val="0"/>
                <w:color w:val="auto"/>
                <w:highlight w:val="none"/>
                <w:lang w:val="en-US" w:eastAsia="zh-CN" w:bidi="ar"/>
              </w:rPr>
              <w:t>本年支出合计</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57</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1,316.42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使用非财政拨款结余（含专用结余）</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28</w:t>
            </w:r>
          </w:p>
        </w:tc>
        <w:tc>
          <w:tcPr>
            <w:tcW w:w="1309" w:type="dxa"/>
            <w:tcBorders>
              <w:top w:val="nil"/>
              <w:left w:val="nil"/>
              <w:bottom w:val="single" w:color="000000" w:sz="4" w:space="0"/>
              <w:right w:val="single" w:color="000000" w:sz="4" w:space="0"/>
            </w:tcBorders>
            <w:shd w:val="clear" w:color="auto" w:fill="auto"/>
            <w:noWrap/>
            <w:vAlign w:val="center"/>
          </w:tcPr>
          <w:p>
            <w:pPr>
              <w:jc w:val="right"/>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r>
              <w:rPr>
                <w:rStyle w:val="16"/>
                <w:rFonts w:hint="default" w:ascii="Times New Roman" w:hAnsi="Times New Roman" w:cs="Times New Roman"/>
                <w:snapToGrid w:val="0"/>
                <w:color w:val="auto"/>
                <w:highlight w:val="none"/>
                <w:lang w:val="en-US" w:eastAsia="zh-CN" w:bidi="ar"/>
              </w:rPr>
              <w:t>结余分配</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58</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年初结转和结余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29</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1,052.88</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 xml:space="preserve">    </w:t>
            </w:r>
            <w:r>
              <w:rPr>
                <w:rStyle w:val="18"/>
                <w:rFonts w:hint="default" w:ascii="Times New Roman" w:hAnsi="Times New Roman" w:cs="Times New Roman"/>
                <w:snapToGrid w:val="0"/>
                <w:color w:val="auto"/>
                <w:highlight w:val="none"/>
                <w:lang w:val="en-US" w:eastAsia="zh-CN" w:bidi="ar"/>
              </w:rPr>
              <w:t>年末结转和结余</w:t>
            </w:r>
            <w:r>
              <w:rPr>
                <w:rStyle w:val="19"/>
                <w:rFonts w:hint="default" w:ascii="Times New Roman" w:hAnsi="Times New Roman" w:eastAsia="宋体" w:cs="Times New Roman"/>
                <w:snapToGrid w:val="0"/>
                <w:color w:val="auto"/>
                <w:highlight w:val="none"/>
                <w:lang w:val="en-US" w:eastAsia="zh-CN" w:bidi="ar"/>
              </w:rPr>
              <w:t xml:space="preserve"> </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snapToGrid w:val="0"/>
                <w:color w:val="auto"/>
                <w:kern w:val="0"/>
                <w:sz w:val="18"/>
                <w:szCs w:val="18"/>
                <w:highlight w:val="none"/>
                <w:u w:val="none"/>
                <w:lang w:val="en-US" w:eastAsia="zh-CN" w:bidi="ar"/>
              </w:rPr>
              <w:t>59</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926.26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996"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Style w:val="18"/>
                <w:rFonts w:hint="default" w:ascii="Times New Roman" w:hAnsi="Times New Roman" w:cs="Times New Roman"/>
                <w:b/>
                <w:bCs/>
                <w:snapToGrid w:val="0"/>
                <w:color w:val="auto"/>
                <w:highlight w:val="none"/>
                <w:lang w:val="en-US" w:eastAsia="zh-CN" w:bidi="ar"/>
              </w:rPr>
              <w:t>总计</w:t>
            </w:r>
          </w:p>
        </w:tc>
        <w:tc>
          <w:tcPr>
            <w:tcW w:w="5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30</w:t>
            </w:r>
          </w:p>
        </w:tc>
        <w:tc>
          <w:tcPr>
            <w:tcW w:w="130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2,242.67</w:t>
            </w:r>
          </w:p>
        </w:tc>
        <w:tc>
          <w:tcPr>
            <w:tcW w:w="266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default" w:ascii="Times New Roman" w:hAnsi="Times New Roman" w:eastAsia="宋体" w:cs="Times New Roman"/>
                <w:i w:val="0"/>
                <w:iCs w:val="0"/>
                <w:snapToGrid w:val="0"/>
                <w:color w:val="000000"/>
                <w:kern w:val="0"/>
                <w:sz w:val="16"/>
                <w:szCs w:val="16"/>
                <w:u w:val="none"/>
                <w:lang w:val="en-US" w:eastAsia="zh-CN" w:bidi="ar"/>
              </w:rPr>
              <w:t>总计</w:t>
            </w:r>
          </w:p>
        </w:tc>
        <w:tc>
          <w:tcPr>
            <w:tcW w:w="54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8"/>
                <w:szCs w:val="18"/>
                <w:highlight w:val="none"/>
                <w:u w:val="none"/>
              </w:rPr>
            </w:pPr>
            <w:r>
              <w:rPr>
                <w:rFonts w:hint="default" w:ascii="Times New Roman" w:hAnsi="Times New Roman" w:eastAsia="宋体" w:cs="Times New Roman"/>
                <w:b/>
                <w:bCs/>
                <w:i w:val="0"/>
                <w:iCs w:val="0"/>
                <w:snapToGrid w:val="0"/>
                <w:color w:val="auto"/>
                <w:kern w:val="0"/>
                <w:sz w:val="18"/>
                <w:szCs w:val="18"/>
                <w:highlight w:val="none"/>
                <w:u w:val="none"/>
                <w:lang w:val="en-US" w:eastAsia="zh-CN" w:bidi="ar"/>
              </w:rPr>
              <w:t>60</w:t>
            </w:r>
          </w:p>
        </w:tc>
        <w:tc>
          <w:tcPr>
            <w:tcW w:w="1273"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2,242.67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注：1.本表反映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本年度的总收支和年末结转结余情况。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45" w:type="dxa"/>
            <w:gridSpan w:val="6"/>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2.本套报表金额单位转换时可能存在尾数误差。</w:t>
            </w:r>
          </w:p>
        </w:tc>
      </w:tr>
    </w:tbl>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tbl>
      <w:tblPr>
        <w:tblStyle w:val="11"/>
        <w:tblW w:w="9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2040"/>
        <w:gridCol w:w="1170"/>
        <w:gridCol w:w="1069"/>
        <w:gridCol w:w="751"/>
        <w:gridCol w:w="840"/>
        <w:gridCol w:w="720"/>
        <w:gridCol w:w="860"/>
        <w:gridCol w:w="1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jc w:val="center"/>
        </w:trPr>
        <w:tc>
          <w:tcPr>
            <w:tcW w:w="9325" w:type="dxa"/>
            <w:gridSpan w:val="9"/>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30"/>
                <w:szCs w:val="30"/>
                <w:u w:val="none"/>
                <w:lang w:val="en-US" w:eastAsia="zh-CN" w:bidi="ar"/>
              </w:rPr>
            </w:pPr>
            <w:r>
              <w:rPr>
                <w:rFonts w:hint="default" w:ascii="宋体" w:hAnsi="宋体" w:eastAsia="宋体" w:cs="宋体"/>
                <w:i w:val="0"/>
                <w:iCs w:val="0"/>
                <w:snapToGrid w:val="0"/>
                <w:color w:val="000000"/>
                <w:kern w:val="0"/>
                <w:sz w:val="30"/>
                <w:szCs w:val="30"/>
                <w:u w:val="none"/>
                <w:lang w:val="en-US" w:eastAsia="zh-CN" w:bidi="ar"/>
              </w:rPr>
              <w:t>收入决算表</w:t>
            </w:r>
          </w:p>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lang w:val="en-US"/>
              </w:rPr>
            </w:pPr>
          </w:p>
        </w:tc>
        <w:tc>
          <w:tcPr>
            <w:tcW w:w="751" w:type="dxa"/>
            <w:tcBorders>
              <w:top w:val="nil"/>
              <w:left w:val="nil"/>
              <w:bottom w:val="nil"/>
              <w:right w:val="nil"/>
            </w:tcBorders>
            <w:shd w:val="clear" w:color="auto" w:fill="auto"/>
            <w:noWrap/>
            <w:vAlign w:val="center"/>
          </w:tcPr>
          <w:p>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公开02表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jc w:val="center"/>
        </w:trPr>
        <w:tc>
          <w:tcPr>
            <w:tcW w:w="5064" w:type="dxa"/>
            <w:gridSpan w:val="4"/>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                                                              </w:t>
            </w:r>
          </w:p>
        </w:tc>
        <w:tc>
          <w:tcPr>
            <w:tcW w:w="751" w:type="dxa"/>
            <w:tcBorders>
              <w:top w:val="nil"/>
              <w:left w:val="nil"/>
              <w:bottom w:val="nil"/>
              <w:right w:val="nil"/>
            </w:tcBorders>
            <w:shd w:val="clear" w:color="auto" w:fill="auto"/>
            <w:noWrap/>
            <w:vAlign w:val="center"/>
          </w:tcPr>
          <w:p>
            <w:pPr>
              <w:jc w:val="both"/>
              <w:rPr>
                <w:rFonts w:hint="default" w:ascii="Times New Roman" w:hAnsi="Times New Roman" w:eastAsia="宋体" w:cs="Times New Roman"/>
                <w:i w:val="0"/>
                <w:iCs w:val="0"/>
                <w:color w:val="auto"/>
                <w:sz w:val="16"/>
                <w:szCs w:val="16"/>
                <w:highlight w:val="none"/>
                <w:u w:val="none"/>
                <w:lang w:val="en-US" w:eastAsia="zh-CN"/>
              </w:rPr>
            </w:pPr>
          </w:p>
        </w:tc>
        <w:tc>
          <w:tcPr>
            <w:tcW w:w="84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72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8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090"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28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w:t>
            </w:r>
          </w:p>
        </w:tc>
        <w:tc>
          <w:tcPr>
            <w:tcW w:w="117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本年收入 合计</w:t>
            </w:r>
          </w:p>
        </w:tc>
        <w:tc>
          <w:tcPr>
            <w:tcW w:w="1069"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财政拨款收入 </w:t>
            </w:r>
          </w:p>
        </w:tc>
        <w:tc>
          <w:tcPr>
            <w:tcW w:w="751"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上级补助收入</w:t>
            </w:r>
          </w:p>
        </w:tc>
        <w:tc>
          <w:tcPr>
            <w:tcW w:w="84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事业收入</w:t>
            </w:r>
          </w:p>
        </w:tc>
        <w:tc>
          <w:tcPr>
            <w:tcW w:w="72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经营 收入</w:t>
            </w:r>
          </w:p>
        </w:tc>
        <w:tc>
          <w:tcPr>
            <w:tcW w:w="86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附属单位上缴收入</w:t>
            </w:r>
          </w:p>
        </w:tc>
        <w:tc>
          <w:tcPr>
            <w:tcW w:w="1090" w:type="dxa"/>
            <w:vMerge w:val="restart"/>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85" w:type="dxa"/>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204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85"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04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17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69"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51"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4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6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090" w:type="dxa"/>
            <w:vMerge w:val="continue"/>
            <w:tcBorders>
              <w:top w:val="single" w:color="000000" w:sz="4" w:space="0"/>
              <w:left w:val="nil"/>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2825" w:type="dxa"/>
            <w:gridSpan w:val="2"/>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auto"/>
                <w:kern w:val="0"/>
                <w:sz w:val="16"/>
                <w:szCs w:val="16"/>
                <w:highlight w:val="none"/>
                <w:u w:val="none"/>
                <w:lang w:val="en-US" w:eastAsia="zh-CN" w:bidi="ar"/>
              </w:rPr>
              <w:t>合计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1,189.79</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1,140.01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10.24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10.24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5.12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22.66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22.66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6.82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6.82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auto"/>
                <w:sz w:val="16"/>
                <w:szCs w:val="16"/>
                <w:highlight w:val="none"/>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1,133.88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49.78 </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1,084.10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1,133.88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49.78 </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1,084.10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630.50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15.50 </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615.00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0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1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503.38 </w:t>
            </w:r>
          </w:p>
        </w:tc>
        <w:tc>
          <w:tcPr>
            <w:tcW w:w="1069"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34.28 </w:t>
            </w:r>
          </w:p>
        </w:tc>
        <w:tc>
          <w:tcPr>
            <w:tcW w:w="751"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4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8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9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469.10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325" w:type="dxa"/>
            <w:gridSpan w:val="9"/>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部门</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本年度取得的各项收入情况。</w:t>
            </w:r>
          </w:p>
        </w:tc>
      </w:tr>
    </w:tbl>
    <w:p>
      <w:pPr>
        <w:tabs>
          <w:tab w:val="left" w:pos="3808"/>
        </w:tabs>
        <w:spacing w:before="4"/>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ab/>
      </w: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tabs>
          <w:tab w:val="left" w:pos="3808"/>
        </w:tabs>
        <w:spacing w:before="4"/>
        <w:rPr>
          <w:rFonts w:hint="default" w:ascii="Times New Roman" w:hAnsi="Times New Roman" w:eastAsia="宋体" w:cs="Times New Roman"/>
          <w:color w:val="auto"/>
          <w:highlight w:val="none"/>
          <w:lang w:eastAsia="zh-CN"/>
        </w:rPr>
      </w:pPr>
    </w:p>
    <w:p>
      <w:pP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br w:type="page"/>
      </w:r>
    </w:p>
    <w:tbl>
      <w:tblPr>
        <w:tblStyle w:val="11"/>
        <w:tblW w:w="96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6"/>
        <w:gridCol w:w="285"/>
        <w:gridCol w:w="379"/>
        <w:gridCol w:w="29"/>
        <w:gridCol w:w="2932"/>
        <w:gridCol w:w="29"/>
        <w:gridCol w:w="1366"/>
        <w:gridCol w:w="29"/>
        <w:gridCol w:w="1011"/>
        <w:gridCol w:w="29"/>
        <w:gridCol w:w="1011"/>
        <w:gridCol w:w="29"/>
        <w:gridCol w:w="673"/>
        <w:gridCol w:w="29"/>
        <w:gridCol w:w="673"/>
        <w:gridCol w:w="877"/>
        <w:gridCol w:w="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62" w:hRule="atLeast"/>
          <w:jc w:val="center"/>
        </w:trPr>
        <w:tc>
          <w:tcPr>
            <w:tcW w:w="9617" w:type="dxa"/>
            <w:gridSpan w:val="1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t>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236" w:type="dxa"/>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285" w:type="dxa"/>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408"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2961"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1395"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公开</w:t>
            </w:r>
            <w:r>
              <w:rPr>
                <w:rFonts w:hint="default" w:ascii="Times New Roman" w:hAnsi="Times New Roman" w:eastAsia="宋体" w:cs="Times New Roman"/>
                <w:i w:val="0"/>
                <w:iCs w:val="0"/>
                <w:snapToGrid w:val="0"/>
                <w:color w:val="000000"/>
                <w:kern w:val="0"/>
                <w:sz w:val="16"/>
                <w:szCs w:val="16"/>
                <w:u w:val="none"/>
                <w:lang w:val="en-US" w:eastAsia="zh-CN" w:bidi="ar"/>
              </w:rPr>
              <w:t>03</w:t>
            </w:r>
            <w:r>
              <w:rPr>
                <w:rStyle w:val="23"/>
                <w:snapToGrid w:val="0"/>
                <w:color w:val="000000"/>
                <w:lang w:val="en-US" w:eastAsia="zh-CN" w:bidi="ar"/>
              </w:rPr>
              <w:t>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79" w:hRule="atLeast"/>
          <w:jc w:val="center"/>
        </w:trPr>
        <w:tc>
          <w:tcPr>
            <w:tcW w:w="5256" w:type="dxa"/>
            <w:gridSpan w:val="7"/>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p>
        </w:tc>
        <w:tc>
          <w:tcPr>
            <w:tcW w:w="1040" w:type="dxa"/>
            <w:gridSpan w:val="2"/>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000000"/>
                <w:sz w:val="16"/>
                <w:szCs w:val="16"/>
                <w:u w:val="none"/>
              </w:rPr>
            </w:pPr>
          </w:p>
        </w:tc>
        <w:tc>
          <w:tcPr>
            <w:tcW w:w="1040"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702" w:type="dxa"/>
            <w:gridSpan w:val="2"/>
            <w:tcBorders>
              <w:top w:val="nil"/>
              <w:left w:val="nil"/>
              <w:bottom w:val="nil"/>
              <w:right w:val="nil"/>
            </w:tcBorders>
            <w:shd w:val="clear" w:color="auto" w:fill="auto"/>
            <w:noWrap/>
            <w:vAlign w:val="center"/>
          </w:tcPr>
          <w:p>
            <w:pPr>
              <w:jc w:val="left"/>
              <w:rPr>
                <w:rFonts w:hint="default" w:ascii="Times New Roman" w:hAnsi="Times New Roman" w:eastAsia="宋体" w:cs="Times New Roman"/>
                <w:i w:val="0"/>
                <w:iCs w:val="0"/>
                <w:color w:val="000000"/>
                <w:sz w:val="16"/>
                <w:szCs w:val="16"/>
                <w:u w:val="none"/>
              </w:rPr>
            </w:pPr>
          </w:p>
        </w:tc>
        <w:tc>
          <w:tcPr>
            <w:tcW w:w="1579" w:type="dxa"/>
            <w:gridSpan w:val="3"/>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w:t>
            </w:r>
          </w:p>
        </w:tc>
        <w:tc>
          <w:tcPr>
            <w:tcW w:w="1395"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本年支出</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合计</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基本支出</w:t>
            </w:r>
          </w:p>
        </w:tc>
        <w:tc>
          <w:tcPr>
            <w:tcW w:w="1040" w:type="dxa"/>
            <w:gridSpan w:val="2"/>
            <w:vMerge w:val="restart"/>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项目支出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上缴上级</w:t>
            </w:r>
            <w:r>
              <w:rPr>
                <w:rFonts w:hint="default" w:ascii="Times New Roman" w:hAnsi="Times New Roman" w:eastAsia="宋体" w:cs="Times New Roman"/>
                <w:i w:val="0"/>
                <w:iCs w:val="0"/>
                <w:snapToGrid w:val="0"/>
                <w:color w:val="000000"/>
                <w:kern w:val="0"/>
                <w:sz w:val="16"/>
                <w:szCs w:val="16"/>
                <w:u w:val="none"/>
                <w:lang w:val="en-US" w:eastAsia="zh-CN" w:bidi="ar"/>
              </w:rPr>
              <w:t xml:space="preserve"> </w:t>
            </w:r>
            <w:r>
              <w:rPr>
                <w:rStyle w:val="23"/>
                <w:snapToGrid w:val="0"/>
                <w:color w:val="000000"/>
                <w:lang w:val="en-US" w:eastAsia="zh-CN" w:bidi="ar"/>
              </w:rPr>
              <w:t>支出</w:t>
            </w:r>
          </w:p>
        </w:tc>
        <w:tc>
          <w:tcPr>
            <w:tcW w:w="702" w:type="dxa"/>
            <w:gridSpan w:val="2"/>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经营支出</w:t>
            </w:r>
          </w:p>
        </w:tc>
        <w:tc>
          <w:tcPr>
            <w:tcW w:w="877"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12" w:hRule="atLeast"/>
          <w:jc w:val="center"/>
        </w:trPr>
        <w:tc>
          <w:tcPr>
            <w:tcW w:w="900"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科目代码</w:t>
            </w:r>
          </w:p>
        </w:tc>
        <w:tc>
          <w:tcPr>
            <w:tcW w:w="2961" w:type="dxa"/>
            <w:gridSpan w:val="2"/>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科目名称</w:t>
            </w: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12" w:hRule="atLeast"/>
          <w:jc w:val="center"/>
        </w:trPr>
        <w:tc>
          <w:tcPr>
            <w:tcW w:w="900"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2961" w:type="dxa"/>
            <w:gridSpan w:val="2"/>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1395"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1040" w:type="dxa"/>
            <w:gridSpan w:val="2"/>
            <w:vMerge w:val="continue"/>
            <w:tcBorders>
              <w:top w:val="single" w:color="000000" w:sz="8" w:space="0"/>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16"/>
                <w:szCs w:val="16"/>
                <w:u w:val="none"/>
              </w:rPr>
            </w:pPr>
          </w:p>
        </w:tc>
        <w:tc>
          <w:tcPr>
            <w:tcW w:w="702" w:type="dxa"/>
            <w:gridSpan w:val="2"/>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16"/>
                <w:szCs w:val="16"/>
                <w:u w:val="none"/>
              </w:rPr>
            </w:pPr>
          </w:p>
        </w:tc>
        <w:tc>
          <w:tcPr>
            <w:tcW w:w="877"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97"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栏次</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1</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3</w:t>
            </w: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4</w:t>
            </w: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5</w:t>
            </w:r>
          </w:p>
        </w:tc>
        <w:tc>
          <w:tcPr>
            <w:tcW w:w="877"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3861" w:type="dxa"/>
            <w:gridSpan w:val="5"/>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合计</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1,316.42</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483.99</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832.42</w:t>
            </w: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b/>
                <w:bCs/>
                <w:i w:val="0"/>
                <w:iCs w:val="0"/>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208</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社会保障和就业支出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行政事业单位养老支出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15.35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2080505</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机关事业单位基本养老保险缴费支出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10.24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10.24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2080506</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机关事业单位职业年金缴费支出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5.12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5.12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210</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卫生健康支出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行政事业单位医疗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29.48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2101101</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行政单位医疗</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22.66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22.66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2101199</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其他行政事业单位医疗支出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6.82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6.82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221</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住房保障支出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住房改革支出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2210201</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住房公积金</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11.08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snapToGrid w:val="0"/>
                <w:color w:val="000000"/>
                <w:kern w:val="0"/>
                <w:sz w:val="16"/>
                <w:szCs w:val="16"/>
                <w:u w:val="none"/>
                <w:lang w:val="en-US" w:eastAsia="zh-CN" w:bidi="ar"/>
              </w:rPr>
              <w:t>224</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snapToGrid w:val="0"/>
                <w:color w:val="000000"/>
                <w:kern w:val="0"/>
                <w:sz w:val="16"/>
                <w:szCs w:val="16"/>
                <w:u w:val="none"/>
                <w:lang w:val="en-US" w:eastAsia="zh-CN" w:bidi="ar"/>
              </w:rPr>
              <w:t>灾害防治及应急管理支出</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1,260.50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428.08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832.42 </w:t>
            </w: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消防救援事务</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1,260.50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428.08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832.42 </w:t>
            </w: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2240201</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行政运行</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428.08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428.08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325" w:hRule="atLeast"/>
          <w:jc w:val="center"/>
        </w:trPr>
        <w:tc>
          <w:tcPr>
            <w:tcW w:w="900"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snapToGrid w:val="0"/>
                <w:color w:val="000000"/>
                <w:kern w:val="0"/>
                <w:sz w:val="16"/>
                <w:szCs w:val="16"/>
                <w:u w:val="none"/>
                <w:lang w:val="en-US" w:eastAsia="zh-CN" w:bidi="ar"/>
              </w:rPr>
              <w:t>2240204</w:t>
            </w:r>
          </w:p>
        </w:tc>
        <w:tc>
          <w:tcPr>
            <w:tcW w:w="2961"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消防应急救援</w:t>
            </w:r>
          </w:p>
        </w:tc>
        <w:tc>
          <w:tcPr>
            <w:tcW w:w="1395"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832.42 </w:t>
            </w: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1040"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832.42 </w:t>
            </w:r>
          </w:p>
        </w:tc>
        <w:tc>
          <w:tcPr>
            <w:tcW w:w="702" w:type="dxa"/>
            <w:gridSpan w:val="2"/>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snapToGrid w:val="0"/>
                <w:color w:val="000000"/>
                <w:kern w:val="0"/>
                <w:sz w:val="16"/>
                <w:szCs w:val="16"/>
                <w:u w:val="none"/>
                <w:lang w:val="en-US" w:eastAsia="zh-CN" w:bidi="ar"/>
              </w:rPr>
            </w:pPr>
          </w:p>
        </w:tc>
        <w:tc>
          <w:tcPr>
            <w:tcW w:w="702" w:type="dxa"/>
            <w:gridSpan w:val="2"/>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16"/>
                <w:szCs w:val="16"/>
                <w:u w:val="none"/>
              </w:rPr>
            </w:pPr>
          </w:p>
        </w:tc>
        <w:tc>
          <w:tcPr>
            <w:tcW w:w="877" w:type="dxa"/>
            <w:tcBorders>
              <w:top w:val="nil"/>
              <w:left w:val="nil"/>
              <w:bottom w:val="single" w:color="000000" w:sz="8" w:space="0"/>
              <w:right w:val="single" w:color="000000" w:sz="8" w:space="0"/>
            </w:tcBorders>
            <w:shd w:val="clear" w:color="auto" w:fill="auto"/>
            <w:noWrap/>
            <w:vAlign w:val="center"/>
          </w:tcPr>
          <w:p>
            <w:pPr>
              <w:jc w:val="right"/>
              <w:rPr>
                <w:rFonts w:hint="default" w:ascii="Times New Roman" w:hAnsi="Times New Roman" w:eastAsia="宋体" w:cs="Times New Roman"/>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9" w:type="dxa"/>
          <w:trHeight w:val="269" w:hRule="atLeast"/>
          <w:jc w:val="center"/>
        </w:trPr>
        <w:tc>
          <w:tcPr>
            <w:tcW w:w="9617" w:type="dxa"/>
            <w:gridSpan w:val="16"/>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snapToGrid w:val="0"/>
                <w:color w:val="000000"/>
                <w:kern w:val="0"/>
                <w:sz w:val="16"/>
                <w:szCs w:val="16"/>
                <w:u w:val="none"/>
                <w:lang w:val="en-US" w:eastAsia="zh-CN" w:bidi="ar"/>
              </w:rPr>
              <w:t>注：本表反映部门本年度各项支出情况。</w:t>
            </w:r>
          </w:p>
        </w:tc>
      </w:tr>
    </w:tbl>
    <w:p>
      <w:pPr>
        <w:tabs>
          <w:tab w:val="left" w:pos="3808"/>
        </w:tabs>
        <w:spacing w:before="4"/>
        <w:rPr>
          <w:rFonts w:hint="default" w:ascii="Times New Roman" w:hAnsi="Times New Roman" w:eastAsia="宋体" w:cs="Times New Roman"/>
          <w:color w:val="auto"/>
          <w:highlight w:val="none"/>
          <w:lang w:eastAsia="zh-CN"/>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spacing w:before="4"/>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sectPr>
          <w:footerReference r:id="rId9" w:type="default"/>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p>
    <w:p>
      <w:pPr>
        <w:pStyle w:val="2"/>
        <w:rPr>
          <w:rFonts w:hint="default" w:ascii="Times New Roman" w:hAnsi="Times New Roman" w:cs="Times New Roman"/>
          <w:color w:val="auto"/>
          <w:highlight w:val="none"/>
        </w:rPr>
      </w:pPr>
    </w:p>
    <w:tbl>
      <w:tblPr>
        <w:tblStyle w:val="11"/>
        <w:tblW w:w="10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33"/>
        <w:gridCol w:w="451"/>
        <w:gridCol w:w="1202"/>
        <w:gridCol w:w="2617"/>
        <w:gridCol w:w="400"/>
        <w:gridCol w:w="1316"/>
        <w:gridCol w:w="1156"/>
        <w:gridCol w:w="660"/>
        <w:gridCol w:w="6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8" w:hRule="atLeast"/>
          <w:jc w:val="center"/>
        </w:trPr>
        <w:tc>
          <w:tcPr>
            <w:tcW w:w="10080" w:type="dxa"/>
            <w:gridSpan w:val="9"/>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0"/>
                <w:szCs w:val="30"/>
                <w:u w:val="none"/>
                <w:lang w:val="en-US" w:eastAsia="zh-CN" w:bidi="ar"/>
              </w:rPr>
              <w:t>财政拨款收入支出决算批复表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451"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1202"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2617"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公开04表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w:t>
            </w:r>
            <w:r>
              <w:rPr>
                <w:rStyle w:val="16"/>
                <w:rFonts w:hint="eastAsia" w:ascii="Times New Roman" w:hAnsi="Times New Roman" w:cs="Times New Roman"/>
                <w:snapToGrid w:val="0"/>
                <w:color w:val="auto"/>
                <w:highlight w:val="none"/>
                <w:lang w:val="en-US" w:eastAsia="zh-CN" w:bidi="ar"/>
              </w:rPr>
              <w:t>安仁县消防救援大队</w:t>
            </w:r>
          </w:p>
        </w:tc>
        <w:tc>
          <w:tcPr>
            <w:tcW w:w="2617"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400"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1316" w:type="dxa"/>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18"/>
                <w:szCs w:val="18"/>
                <w:u w:val="none"/>
              </w:rPr>
            </w:pPr>
          </w:p>
        </w:tc>
        <w:tc>
          <w:tcPr>
            <w:tcW w:w="2461" w:type="dxa"/>
            <w:gridSpan w:val="3"/>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2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收     入</w:t>
            </w:r>
          </w:p>
        </w:tc>
        <w:tc>
          <w:tcPr>
            <w:tcW w:w="6794" w:type="dxa"/>
            <w:gridSpan w:val="6"/>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支     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金额</w:t>
            </w: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行次</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一般公共预算财政拨款</w:t>
            </w: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政府性基金预算财政拨款</w:t>
            </w: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51" w:type="dxa"/>
            <w:tcBorders>
              <w:top w:val="nil"/>
              <w:left w:val="nil"/>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400" w:type="dxa"/>
            <w:tcBorders>
              <w:top w:val="nil"/>
              <w:left w:val="nil"/>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一、一般公共预算财政拨款</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一、一般公共服务支出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二、政府性基金预算财政拨款</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二、外交支出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34</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三、国防支出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35</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四、公共安全支出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36</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五、教育支出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六、科学技术支出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38</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7</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七、文化旅游体育与传媒支出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39</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八、社会保障和就业支出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九、卫生健康支出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41</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十、节能环保支出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42</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十一、城乡社区支出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43</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十二、农林水支出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44</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十三、交通运输支出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45</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十四、资源勘探工业信息等支出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十五、商业服务业等支出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十六、金融支出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48</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十七、援助其他地区支出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49</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十八、自然资源海洋气象等支出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十九、住房保障支出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51</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二十、粮油物资储备支出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52</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二十一、国有资本经营预算支出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53</w:t>
            </w:r>
          </w:p>
        </w:tc>
        <w:tc>
          <w:tcPr>
            <w:tcW w:w="131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1156"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60"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c>
          <w:tcPr>
            <w:tcW w:w="645" w:type="dxa"/>
            <w:tcBorders>
              <w:top w:val="nil"/>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二十二、灾害防治及应急管理支出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54</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二十三、其他支出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55</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二十四、债务还本支出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56</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二十五、债务付息支出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57</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二十六、抗疫特别国债安排的支出</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58</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本年收入合计</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本年支出合计</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59</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年初结转和结余</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年末结转和结余</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60</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一般公共预算财政拨款</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29</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61</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政府性基金预算财政拨款</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62</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国有资本经营预算财政拨款</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2617" w:type="dxa"/>
            <w:tcBorders>
              <w:top w:val="nil"/>
              <w:left w:val="nil"/>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63</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3"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51"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32</w:t>
            </w:r>
          </w:p>
        </w:tc>
        <w:tc>
          <w:tcPr>
            <w:tcW w:w="1202"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en-US"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2617"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总计</w:t>
            </w:r>
          </w:p>
        </w:tc>
        <w:tc>
          <w:tcPr>
            <w:tcW w:w="40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64</w:t>
            </w:r>
          </w:p>
        </w:tc>
        <w:tc>
          <w:tcPr>
            <w:tcW w:w="131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1156"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660"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645" w:type="dxa"/>
            <w:tcBorders>
              <w:top w:val="nil"/>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rPr>
          <w:rFonts w:hint="default" w:ascii="Times New Roman" w:hAnsi="Times New Roman" w:cs="Times New Roman"/>
          <w:color w:val="auto"/>
          <w:highlight w:val="none"/>
        </w:rPr>
      </w:pPr>
    </w:p>
    <w:tbl>
      <w:tblPr>
        <w:tblStyle w:val="11"/>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9580" w:type="dxa"/>
            <w:gridSpan w:val="7"/>
            <w:tcBorders>
              <w:top w:val="nil"/>
              <w:left w:val="nil"/>
              <w:bottom w:val="nil"/>
              <w:right w:val="nil"/>
            </w:tcBorders>
            <w:shd w:val="clear" w:color="auto" w:fill="auto"/>
            <w:noWrap/>
            <w:vAlign w:val="center"/>
          </w:tcPr>
          <w:p>
            <w:pPr>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br w:type="page"/>
            </w:r>
            <w:r>
              <w:rPr>
                <w:rFonts w:hint="eastAsia" w:ascii="宋体" w:hAnsi="宋体" w:eastAsia="宋体" w:cs="宋体"/>
                <w:i w:val="0"/>
                <w:iCs w:val="0"/>
                <w:snapToGrid w:val="0"/>
                <w:color w:val="000000"/>
                <w:kern w:val="0"/>
                <w:sz w:val="30"/>
                <w:szCs w:val="30"/>
                <w:u w:val="none"/>
                <w:lang w:val="en-US" w:eastAsia="zh-CN" w:bidi="ar"/>
              </w:rPr>
              <w:t>一般公共预算财政拨款支出决算表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289"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 w:hRule="atLeast"/>
          <w:jc w:val="center"/>
        </w:trPr>
        <w:tc>
          <w:tcPr>
            <w:tcW w:w="6378" w:type="dxa"/>
            <w:gridSpan w:val="5"/>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r>
              <w:rPr>
                <w:rFonts w:hint="eastAsia" w:ascii="宋体" w:hAnsi="宋体" w:eastAsia="宋体" w:cs="宋体"/>
                <w:i w:val="0"/>
                <w:iCs w:val="0"/>
                <w:snapToGrid w:val="0"/>
                <w:color w:val="000000"/>
                <w:kern w:val="0"/>
                <w:sz w:val="18"/>
                <w:szCs w:val="18"/>
                <w:u w:val="none"/>
                <w:lang w:val="en-US" w:eastAsia="zh-CN" w:bidi="ar"/>
              </w:rPr>
              <w:t xml:space="preserve">                                                              </w:t>
            </w:r>
          </w:p>
        </w:tc>
        <w:tc>
          <w:tcPr>
            <w:tcW w:w="1678" w:type="dxa"/>
            <w:tcBorders>
              <w:top w:val="nil"/>
              <w:left w:val="nil"/>
              <w:bottom w:val="nil"/>
              <w:right w:val="nil"/>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15.50</w:t>
            </w: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34.28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208</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社会保障和就业支出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行政事业单位养老支出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2080505</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机关事业单位基本养老保险缴费支出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2080506</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机关事业单位职业年金缴费支出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210</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卫生健康支出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行政事业单位医疗</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2101101</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行政单位医疗</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2101199</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其他行政事业单位医疗支出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221</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住房保障支出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住房改革支出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2210201</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住房公积金</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49.78</w:t>
            </w: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15.50</w:t>
            </w: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34.28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49.78 </w:t>
            </w: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15.50</w:t>
            </w: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34.28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15.50 </w:t>
            </w: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15.50 </w:t>
            </w: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 xml:space="preserve">34.28 </w:t>
            </w:r>
          </w:p>
        </w:tc>
        <w:tc>
          <w:tcPr>
            <w:tcW w:w="1678"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34.28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9580" w:type="dxa"/>
            <w:gridSpan w:val="7"/>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rPr>
          <w:rFonts w:hint="default" w:ascii="Times New Roman" w:hAnsi="Times New Roman" w:eastAsia="宋体" w:cs="Times New Roman"/>
          <w:color w:val="auto"/>
          <w:highlight w:val="none"/>
          <w:lang w:val="en-US" w:eastAsia="zh-CN"/>
        </w:rPr>
      </w:pPr>
    </w:p>
    <w:tbl>
      <w:tblPr>
        <w:tblStyle w:val="11"/>
        <w:tblW w:w="94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5"/>
        <w:gridCol w:w="1628"/>
        <w:gridCol w:w="972"/>
        <w:gridCol w:w="680"/>
        <w:gridCol w:w="1530"/>
        <w:gridCol w:w="970"/>
        <w:gridCol w:w="720"/>
        <w:gridCol w:w="1522"/>
        <w:gridCol w:w="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一般公共预算财政拨款基本支出决算明细表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1628"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972"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68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153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97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公开06表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915" w:type="dxa"/>
            <w:gridSpan w:val="4"/>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p>
        </w:tc>
        <w:tc>
          <w:tcPr>
            <w:tcW w:w="1530" w:type="dxa"/>
            <w:tcBorders>
              <w:top w:val="nil"/>
              <w:left w:val="nil"/>
              <w:bottom w:val="nil"/>
              <w:right w:val="nil"/>
            </w:tcBorders>
            <w:shd w:val="clear" w:color="auto" w:fill="auto"/>
            <w:noWrap/>
            <w:vAlign w:val="center"/>
          </w:tcPr>
          <w:p>
            <w:pPr>
              <w:jc w:val="center"/>
              <w:rPr>
                <w:rFonts w:hint="eastAsia"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 xml:space="preserve">    </w:t>
            </w:r>
          </w:p>
        </w:tc>
        <w:tc>
          <w:tcPr>
            <w:tcW w:w="97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72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5"/>
                <w:szCs w:val="15"/>
                <w:highlight w:val="none"/>
                <w:u w:val="none"/>
              </w:rPr>
            </w:pPr>
          </w:p>
        </w:tc>
        <w:tc>
          <w:tcPr>
            <w:tcW w:w="2358"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628"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2"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68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53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97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720"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 代码</w:t>
            </w:r>
          </w:p>
        </w:tc>
        <w:tc>
          <w:tcPr>
            <w:tcW w:w="1522"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836"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1628"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972"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68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153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97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720"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1522"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836"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301</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工资福利支出</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302</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商品和服务支出</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15.50</w:t>
            </w: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307</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债务利息及费用支出</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b/>
                <w:bCs/>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30101</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基本工资</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30201</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3.00</w:t>
            </w: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30701</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国内债务付息</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30102</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津贴补贴</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30202</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印刷费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30702</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国外债务付息</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30103</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奖金</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30204</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手续费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310</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资本性支出</w:t>
            </w:r>
          </w:p>
        </w:tc>
        <w:tc>
          <w:tcPr>
            <w:tcW w:w="8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30106</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伙食补助费</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30205</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水费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1.40</w:t>
            </w: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31001</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房屋建筑物购建</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30107</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绩效工资</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30206</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电费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11.10</w:t>
            </w: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31002</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办公设备购置</w:t>
            </w:r>
          </w:p>
        </w:tc>
        <w:tc>
          <w:tcPr>
            <w:tcW w:w="8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30108</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机关事业单位基本养老保险缴费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30207</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邮电费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31003</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专用设备购置</w:t>
            </w:r>
          </w:p>
        </w:tc>
        <w:tc>
          <w:tcPr>
            <w:tcW w:w="836"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30109</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职业年金缴费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30208</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取暖费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31005</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基础设施建设</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30110</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职工基本医疗保险缴费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30209</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物业管理费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31006</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大型修缮</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30111</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公务员医疗补助缴费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30211</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差旅费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31007</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信息网络及软件购置更新</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30112</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其他社会保障缴费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30212</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因公出国（境）费用</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31008</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物资储备</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30113</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住房公积金</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30213</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维修（护）费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31009</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土地补偿</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30114</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30214</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租赁费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31010</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安置补助</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30199</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其他工资福利支出</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30215</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会议费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31011</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地上附着物和青苗补偿</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303</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对个人和家庭的补助</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30216</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培训费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31012</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拆迁补偿</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30301</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离休费</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30217</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公务接待费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31013</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公务用车购置</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30302</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退休费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30218</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专用材料费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31019</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其他交通工具购置</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30303</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退职（役）费</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30224</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被装购置费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31021</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文物和陈列品购置</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30304</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抚恤金</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30225</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专用燃料费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31022</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无形资产购置</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30305</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生活补助</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30226</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劳务费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31099</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其他资本性支出</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30306</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救济费</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30227</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委托业务费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399</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b/>
                <w:bCs/>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30307</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医疗费补助</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30228</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工会经费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39907</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国家赔偿费用支出</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30308</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助学金</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30229</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福利费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39908</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对民间非营利组织和群众性自治组织补贴</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30309</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奖励金</w:t>
            </w:r>
          </w:p>
        </w:tc>
        <w:tc>
          <w:tcPr>
            <w:tcW w:w="97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30231</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公务用车运行维护费</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39909</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经常性赠与</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30310</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个人农业生产补贴</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30239</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其他交通费用</w:t>
            </w:r>
          </w:p>
        </w:tc>
        <w:tc>
          <w:tcPr>
            <w:tcW w:w="97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39910</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资本性赠与</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30311</w:t>
            </w:r>
          </w:p>
        </w:tc>
        <w:tc>
          <w:tcPr>
            <w:tcW w:w="16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代缴社会保险费</w:t>
            </w:r>
          </w:p>
        </w:tc>
        <w:tc>
          <w:tcPr>
            <w:tcW w:w="972"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68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30240</w:t>
            </w:r>
          </w:p>
        </w:tc>
        <w:tc>
          <w:tcPr>
            <w:tcW w:w="153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税金及附加费用</w:t>
            </w:r>
          </w:p>
        </w:tc>
        <w:tc>
          <w:tcPr>
            <w:tcW w:w="970"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c>
          <w:tcPr>
            <w:tcW w:w="72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39999</w:t>
            </w:r>
          </w:p>
        </w:tc>
        <w:tc>
          <w:tcPr>
            <w:tcW w:w="1522"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其他支出</w:t>
            </w:r>
          </w:p>
        </w:tc>
        <w:tc>
          <w:tcPr>
            <w:tcW w:w="836"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6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30399</w:t>
            </w: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其他对个人和家庭的补助</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30299</w:t>
            </w:r>
          </w:p>
        </w:tc>
        <w:tc>
          <w:tcPr>
            <w:tcW w:w="1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其他商品和服务支出</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5"/>
                <w:szCs w:val="15"/>
                <w:highlight w:val="none"/>
                <w:u w:val="none"/>
              </w:rPr>
            </w:pP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auto"/>
                <w:sz w:val="15"/>
                <w:szCs w:val="15"/>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2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人员经费合计</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5422"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公用经费合计</w:t>
            </w:r>
          </w:p>
        </w:tc>
        <w:tc>
          <w:tcPr>
            <w:tcW w:w="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Times New Roman" w:hAnsi="Times New Roman" w:eastAsia="宋体" w:cs="Times New Roman"/>
                <w:i w:val="0"/>
                <w:iCs w:val="0"/>
                <w:snapToGrid w:val="0"/>
                <w:color w:val="000000"/>
                <w:kern w:val="0"/>
                <w:sz w:val="16"/>
                <w:szCs w:val="16"/>
                <w:u w:val="none"/>
                <w:lang w:val="en-US" w:eastAsia="zh-CN" w:bidi="ar"/>
              </w:rPr>
            </w:pPr>
            <w:r>
              <w:rPr>
                <w:rFonts w:hint="eastAsia" w:ascii="Times New Roman" w:hAnsi="Times New Roman" w:eastAsia="宋体" w:cs="Times New Roman"/>
                <w:i w:val="0"/>
                <w:iCs w:val="0"/>
                <w:snapToGrid w:val="0"/>
                <w:color w:val="000000"/>
                <w:kern w:val="0"/>
                <w:sz w:val="16"/>
                <w:szCs w:val="16"/>
                <w:u w:val="none"/>
                <w:lang w:val="en-US" w:eastAsia="zh-CN" w:bidi="ar"/>
              </w:rPr>
              <w:t>15.50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93" w:type="dxa"/>
            <w:gridSpan w:val="9"/>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注：本表反映部门本年度一般公共预算财政拨款基本支出明细情况</w:t>
            </w:r>
          </w:p>
          <w:p>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tc>
      </w:tr>
    </w:tbl>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rPr>
          <w:rFonts w:hint="default" w:ascii="Times New Roman" w:hAnsi="Times New Roman" w:cs="Times New Roman"/>
          <w:color w:val="auto"/>
          <w:highlight w:val="none"/>
        </w:rPr>
      </w:pPr>
    </w:p>
    <w:tbl>
      <w:tblPr>
        <w:tblStyle w:val="11"/>
        <w:tblW w:w="9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1237"/>
        <w:gridCol w:w="965"/>
        <w:gridCol w:w="1025"/>
        <w:gridCol w:w="1205"/>
        <w:gridCol w:w="1260"/>
        <w:gridCol w:w="1195"/>
        <w:gridCol w:w="12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政府性基金预算财政拨款收入支出决算表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1346"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237"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965"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025"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205"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26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573" w:type="dxa"/>
            <w:gridSpan w:val="4"/>
            <w:tcBorders>
              <w:top w:val="nil"/>
              <w:left w:val="nil"/>
              <w:bottom w:val="nil"/>
              <w:right w:val="nil"/>
            </w:tcBorders>
            <w:shd w:val="clear" w:color="auto" w:fill="auto"/>
            <w:noWrap/>
            <w:vAlign w:val="center"/>
          </w:tcPr>
          <w:p>
            <w:pPr>
              <w:keepNext w:val="0"/>
              <w:keepLines w:val="0"/>
              <w:widowControl/>
              <w:suppressLineNumbers w:val="0"/>
              <w:tabs>
                <w:tab w:val="right" w:pos="4424"/>
              </w:tabs>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r>
              <w:rPr>
                <w:rFonts w:hint="eastAsia" w:ascii="宋体" w:hAnsi="宋体" w:eastAsia="宋体" w:cs="宋体"/>
                <w:i w:val="0"/>
                <w:iCs w:val="0"/>
                <w:snapToGrid w:val="0"/>
                <w:color w:val="auto"/>
                <w:kern w:val="0"/>
                <w:sz w:val="18"/>
                <w:szCs w:val="18"/>
                <w:highlight w:val="none"/>
                <w:u w:val="none"/>
                <w:lang w:val="en-US" w:eastAsia="zh-CN" w:bidi="ar"/>
              </w:rPr>
              <w:t xml:space="preserve">                         </w:t>
            </w:r>
          </w:p>
        </w:tc>
        <w:tc>
          <w:tcPr>
            <w:tcW w:w="1205" w:type="dxa"/>
            <w:tcBorders>
              <w:top w:val="nil"/>
              <w:left w:val="nil"/>
              <w:bottom w:val="nil"/>
              <w:right w:val="nil"/>
            </w:tcBorders>
            <w:shd w:val="clear" w:color="auto" w:fill="auto"/>
            <w:noWrap/>
            <w:vAlign w:val="center"/>
          </w:tcPr>
          <w:p>
            <w:pPr>
              <w:jc w:val="left"/>
              <w:rPr>
                <w:rFonts w:hint="eastAsia" w:ascii="宋体" w:hAnsi="宋体" w:eastAsia="宋体" w:cs="宋体"/>
                <w:i w:val="0"/>
                <w:iCs w:val="0"/>
                <w:color w:val="auto"/>
                <w:sz w:val="18"/>
                <w:szCs w:val="18"/>
                <w:highlight w:val="none"/>
                <w:u w:val="none"/>
                <w:lang w:val="en-US" w:eastAsia="zh-CN"/>
              </w:rPr>
            </w:pPr>
          </w:p>
        </w:tc>
        <w:tc>
          <w:tcPr>
            <w:tcW w:w="1260"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28" w:type="dxa"/>
            <w:vMerge w:val="restar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28" w:type="dxa"/>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tcBorders>
              <w:top w:val="nil"/>
              <w:left w:val="single" w:color="000000" w:sz="4" w:space="0"/>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auto"/>
                <w:sz w:val="18"/>
                <w:szCs w:val="18"/>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pPr>
              <w:jc w:val="left"/>
              <w:rPr>
                <w:rFonts w:hint="eastAsia" w:ascii="宋体" w:hAnsi="宋体" w:eastAsia="宋体" w:cs="宋体"/>
                <w:i w:val="0"/>
                <w:iCs w:val="0"/>
                <w:color w:val="auto"/>
                <w:sz w:val="18"/>
                <w:szCs w:val="18"/>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pPr>
              <w:jc w:val="right"/>
              <w:rPr>
                <w:rFonts w:hint="eastAsia" w:ascii="宋体" w:hAnsi="宋体" w:eastAsia="宋体" w:cs="宋体"/>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pPr>
              <w:bidi w:val="0"/>
              <w:rPr>
                <w:rFonts w:hint="eastAsia" w:ascii="宋体" w:hAnsi="宋体" w:eastAsia="宋体" w:cs="宋体"/>
                <w:i w:val="0"/>
                <w:snapToGrid w:val="0"/>
                <w:color w:val="000000"/>
                <w:kern w:val="0"/>
                <w:sz w:val="16"/>
                <w:szCs w:val="16"/>
                <w:u w:val="none"/>
                <w:lang w:val="en-US" w:eastAsia="zh-CN" w:bidi="ar"/>
              </w:rPr>
            </w:pPr>
            <w:r>
              <w:rPr>
                <w:rFonts w:hint="eastAsia" w:ascii="宋体" w:hAnsi="宋体" w:eastAsia="宋体" w:cs="宋体"/>
                <w:i w:val="0"/>
                <w:snapToGrid w:val="0"/>
                <w:color w:val="000000"/>
                <w:kern w:val="0"/>
                <w:sz w:val="16"/>
                <w:szCs w:val="16"/>
                <w:u w:val="none"/>
                <w:lang w:val="en-US" w:eastAsia="zh-CN" w:bidi="ar"/>
              </w:rPr>
              <w:t>注：本表反映部门本年度政府性基金预算财政拨款收入、支出及结转和结余情况。</w:t>
            </w:r>
          </w:p>
          <w:p>
            <w:pPr>
              <w:bidi w:val="0"/>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snapToGrid w:val="0"/>
                <w:color w:val="000000"/>
                <w:kern w:val="0"/>
                <w:sz w:val="16"/>
                <w:szCs w:val="16"/>
                <w:u w:val="none"/>
                <w:lang w:val="en-US" w:eastAsia="zh-CN" w:bidi="ar"/>
              </w:rPr>
              <w:t>说明：安仁县消防救援大队没有使用政府性基金预算安排的支出，故本表无数据。</w:t>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rPr>
          <w:rFonts w:hint="default" w:ascii="Times New Roman" w:hAnsi="Times New Roman" w:cs="Times New Roman"/>
          <w:color w:val="auto"/>
          <w:highlight w:val="none"/>
        </w:rPr>
      </w:pPr>
    </w:p>
    <w:tbl>
      <w:tblPr>
        <w:tblStyle w:val="11"/>
        <w:tblW w:w="95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5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45" w:type="dxa"/>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国有资本经营预算财政拨款支出决算表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555"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569"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公开08表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015" w:type="dxa"/>
            <w:gridSpan w:val="2"/>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p>
        </w:tc>
        <w:tc>
          <w:tcPr>
            <w:tcW w:w="1530" w:type="dxa"/>
            <w:tcBorders>
              <w:top w:val="nil"/>
              <w:left w:val="nil"/>
              <w:bottom w:val="nil"/>
              <w:right w:val="nil"/>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    目</w:t>
            </w:r>
          </w:p>
        </w:tc>
        <w:tc>
          <w:tcPr>
            <w:tcW w:w="6530" w:type="dxa"/>
            <w:gridSpan w:val="4"/>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2580" w:type="dxa"/>
            <w:vMerge w:val="restart"/>
            <w:tcBorders>
              <w:top w:val="nil"/>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auto"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auto"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auto"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auto"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auto"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hint="default" w:ascii="Times New Roman" w:hAnsi="Times New Roman" w:eastAsia="宋体" w:cs="Times New Roman"/>
                <w:i w:val="0"/>
                <w:iCs w:val="0"/>
                <w:color w:val="auto"/>
                <w:sz w:val="16"/>
                <w:szCs w:val="16"/>
                <w:highlight w:val="none"/>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hint="default" w:ascii="Times New Roman" w:hAnsi="Times New Roman" w:eastAsia="宋体" w:cs="Times New Roman"/>
                <w:i w:val="0"/>
                <w:iCs w:val="0"/>
                <w:color w:val="auto"/>
                <w:sz w:val="16"/>
                <w:szCs w:val="16"/>
                <w:highlight w:val="none"/>
                <w:u w:val="none"/>
              </w:rPr>
            </w:pPr>
          </w:p>
        </w:tc>
      </w:tr>
    </w:tbl>
    <w:p>
      <w:pPr>
        <w:bidi w:val="0"/>
        <w:rPr>
          <w:rFonts w:hint="eastAsia" w:ascii="宋体" w:hAnsi="宋体" w:eastAsia="宋体" w:cs="宋体"/>
          <w:i w:val="0"/>
          <w:snapToGrid w:val="0"/>
          <w:color w:val="000000"/>
          <w:kern w:val="0"/>
          <w:sz w:val="16"/>
          <w:szCs w:val="16"/>
          <w:u w:val="none"/>
          <w:lang w:val="en-US" w:eastAsia="zh-CN" w:bidi="ar"/>
        </w:rPr>
      </w:pPr>
      <w:r>
        <w:rPr>
          <w:rFonts w:hint="default" w:ascii="宋体" w:hAnsi="宋体" w:eastAsia="宋体" w:cs="宋体"/>
          <w:i w:val="0"/>
          <w:snapToGrid w:val="0"/>
          <w:color w:val="000000"/>
          <w:kern w:val="0"/>
          <w:sz w:val="16"/>
          <w:szCs w:val="16"/>
          <w:u w:val="none"/>
          <w:lang w:val="en-US" w:eastAsia="zh-CN" w:bidi="ar"/>
        </w:rPr>
        <w:t>注：本表反映部门本年度国有资本经营预算财政拨款支出情况</w:t>
      </w:r>
      <w:r>
        <w:rPr>
          <w:rFonts w:hint="eastAsia" w:ascii="宋体" w:hAnsi="宋体" w:eastAsia="宋体" w:cs="宋体"/>
          <w:i w:val="0"/>
          <w:snapToGrid w:val="0"/>
          <w:color w:val="000000"/>
          <w:kern w:val="0"/>
          <w:sz w:val="16"/>
          <w:szCs w:val="16"/>
          <w:u w:val="none"/>
          <w:lang w:val="en-US" w:eastAsia="zh-CN" w:bidi="ar"/>
        </w:rPr>
        <w:t>。</w:t>
      </w:r>
    </w:p>
    <w:p>
      <w:pPr>
        <w:bidi w:val="0"/>
        <w:rPr>
          <w:rFonts w:hint="default" w:ascii="宋体" w:hAnsi="宋体" w:eastAsia="宋体" w:cs="宋体"/>
          <w:i w:val="0"/>
          <w:snapToGrid w:val="0"/>
          <w:color w:val="000000"/>
          <w:kern w:val="0"/>
          <w:sz w:val="16"/>
          <w:szCs w:val="16"/>
          <w:u w:val="none"/>
          <w:lang w:val="en-US" w:eastAsia="zh-CN" w:bidi="ar"/>
        </w:rPr>
      </w:pPr>
      <w:r>
        <w:rPr>
          <w:rFonts w:hint="default" w:ascii="宋体" w:hAnsi="宋体" w:eastAsia="宋体" w:cs="宋体"/>
          <w:i w:val="0"/>
          <w:snapToGrid w:val="0"/>
          <w:color w:val="000000"/>
          <w:kern w:val="0"/>
          <w:sz w:val="16"/>
          <w:szCs w:val="16"/>
          <w:u w:val="none"/>
          <w:lang w:val="en-US" w:eastAsia="zh-CN" w:bidi="ar"/>
        </w:rPr>
        <w:t>说明：</w:t>
      </w:r>
      <w:r>
        <w:rPr>
          <w:rFonts w:hint="eastAsia" w:ascii="宋体" w:hAnsi="宋体" w:eastAsia="宋体" w:cs="宋体"/>
          <w:i w:val="0"/>
          <w:snapToGrid w:val="0"/>
          <w:color w:val="000000"/>
          <w:kern w:val="0"/>
          <w:sz w:val="16"/>
          <w:szCs w:val="16"/>
          <w:u w:val="none"/>
          <w:lang w:val="en-US" w:eastAsia="zh-CN" w:bidi="ar"/>
        </w:rPr>
        <w:t>安仁县消防救援大队</w:t>
      </w:r>
      <w:r>
        <w:rPr>
          <w:rFonts w:hint="default" w:ascii="宋体" w:hAnsi="宋体" w:eastAsia="宋体" w:cs="宋体"/>
          <w:i w:val="0"/>
          <w:snapToGrid w:val="0"/>
          <w:color w:val="000000"/>
          <w:kern w:val="0"/>
          <w:sz w:val="16"/>
          <w:szCs w:val="16"/>
          <w:u w:val="none"/>
          <w:lang w:val="en-US" w:eastAsia="zh-CN" w:bidi="ar"/>
        </w:rPr>
        <w:t>没有使用国有资本经营预算安排的支出，故本表无数据。</w:t>
      </w:r>
    </w:p>
    <w:p>
      <w:pPr>
        <w:bidi w:val="0"/>
        <w:rPr>
          <w:rFonts w:hint="default" w:ascii="宋体" w:hAnsi="宋体" w:eastAsia="宋体" w:cs="宋体"/>
          <w:i w:val="0"/>
          <w:snapToGrid w:val="0"/>
          <w:color w:val="000000"/>
          <w:kern w:val="0"/>
          <w:sz w:val="16"/>
          <w:szCs w:val="16"/>
          <w:u w:val="none"/>
          <w:lang w:val="en-US" w:eastAsia="zh-CN" w:bidi="ar"/>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pPr>
        <w:rPr>
          <w:rFonts w:hint="default" w:ascii="Times New Roman" w:hAnsi="Times New Roman" w:cs="Times New Roman"/>
          <w:color w:val="auto"/>
          <w:highlight w:val="none"/>
        </w:rPr>
      </w:pPr>
    </w:p>
    <w:tbl>
      <w:tblPr>
        <w:tblStyle w:val="11"/>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660"/>
        <w:gridCol w:w="880"/>
        <w:gridCol w:w="700"/>
        <w:gridCol w:w="930"/>
        <w:gridCol w:w="700"/>
        <w:gridCol w:w="870"/>
        <w:gridCol w:w="670"/>
        <w:gridCol w:w="890"/>
        <w:gridCol w:w="760"/>
        <w:gridCol w:w="880"/>
        <w:gridCol w:w="8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20" w:type="dxa"/>
            <w:gridSpan w:val="12"/>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财政拨款</w:t>
            </w:r>
            <w:r>
              <w:rPr>
                <w:rFonts w:hint="eastAsia" w:ascii="Times New Roman" w:hAnsi="Times New Roman" w:eastAsia="方正小标宋_GBK" w:cs="Times New Roman"/>
                <w:i w:val="0"/>
                <w:iCs w:val="0"/>
                <w:snapToGrid w:val="0"/>
                <w:color w:val="auto"/>
                <w:kern w:val="0"/>
                <w:sz w:val="32"/>
                <w:szCs w:val="32"/>
                <w:highlight w:val="none"/>
                <w:u w:val="none"/>
                <w:lang w:val="en-US" w:eastAsia="zh-CN" w:bidi="ar"/>
              </w:rPr>
              <w:t>“</w:t>
            </w: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三公经费”支出决算表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66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93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7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67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68"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公开09表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82" w:type="dxa"/>
            <w:gridSpan w:val="6"/>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Style w:val="16"/>
                <w:rFonts w:hint="eastAsia" w:ascii="Times New Roman" w:hAnsi="Times New Roman" w:cs="Times New Roman"/>
                <w:snapToGrid w:val="0"/>
                <w:color w:val="auto"/>
                <w:highlight w:val="none"/>
                <w:lang w:val="en-US" w:eastAsia="zh-CN" w:bidi="ar"/>
              </w:rPr>
              <w:t>安仁县消防救援大队</w:t>
            </w:r>
          </w:p>
        </w:tc>
        <w:tc>
          <w:tcPr>
            <w:tcW w:w="870" w:type="dxa"/>
            <w:tcBorders>
              <w:top w:val="nil"/>
              <w:left w:val="nil"/>
              <w:bottom w:val="nil"/>
              <w:right w:val="nil"/>
            </w:tcBorders>
            <w:shd w:val="clear" w:color="auto" w:fill="auto"/>
            <w:vAlign w:val="center"/>
          </w:tcPr>
          <w:p>
            <w:pPr>
              <w:jc w:val="both"/>
              <w:rPr>
                <w:rFonts w:hint="default" w:ascii="Times New Roman" w:hAnsi="Times New Roman" w:eastAsia="宋体" w:cs="Times New Roman"/>
                <w:i w:val="0"/>
                <w:iCs w:val="0"/>
                <w:color w:val="auto"/>
                <w:sz w:val="16"/>
                <w:szCs w:val="16"/>
                <w:highlight w:val="none"/>
                <w:u w:val="none"/>
                <w:lang w:val="en-US" w:eastAsia="zh-CN"/>
              </w:rPr>
            </w:pPr>
          </w:p>
        </w:tc>
        <w:tc>
          <w:tcPr>
            <w:tcW w:w="67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pPr>
              <w:rPr>
                <w:rFonts w:hint="default" w:ascii="Times New Roman" w:hAnsi="Times New Roman" w:eastAsia="宋体" w:cs="Times New Roman"/>
                <w:i w:val="0"/>
                <w:iCs w:val="0"/>
                <w:color w:val="auto"/>
                <w:sz w:val="16"/>
                <w:szCs w:val="16"/>
                <w:highlight w:val="none"/>
                <w:u w:val="none"/>
              </w:rPr>
            </w:pPr>
          </w:p>
        </w:tc>
        <w:tc>
          <w:tcPr>
            <w:tcW w:w="1748"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78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预算数</w:t>
            </w:r>
          </w:p>
        </w:tc>
        <w:tc>
          <w:tcPr>
            <w:tcW w:w="49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    待费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default" w:ascii="Times New Roman" w:hAnsi="Times New Roman" w:eastAsia="宋体" w:cs="Times New Roman"/>
                <w:i w:val="0"/>
                <w:iCs w:val="0"/>
                <w:color w:val="auto"/>
                <w:sz w:val="16"/>
                <w:szCs w:val="16"/>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9720" w:type="dxa"/>
            <w:gridSpan w:val="12"/>
            <w:tcBorders>
              <w:top w:val="nil"/>
              <w:left w:val="nil"/>
              <w:bottom w:val="nil"/>
              <w:right w:val="nil"/>
            </w:tcBorders>
            <w:shd w:val="clear" w:color="auto" w:fill="auto"/>
            <w:vAlign w:val="center"/>
          </w:tcPr>
          <w:p>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注：本表反映部门本年度财政拨款</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三公”经费支出预决算情况。其中，预算数为</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三公”经费全年预算数，反映按规定程序调整后的预算数；决算数是包括当年财政拨款和以前年度结转资金安排的实际支出。</w:t>
            </w:r>
          </w:p>
        </w:tc>
      </w:tr>
    </w:tbl>
    <w:p>
      <w:pPr>
        <w:rPr>
          <w:rFonts w:hint="default" w:ascii="Times New Roman" w:hAnsi="Times New Roman" w:cs="Times New Roman"/>
          <w:color w:val="auto"/>
          <w:highlight w:val="none"/>
        </w:rPr>
      </w:pPr>
    </w:p>
    <w:p>
      <w:pPr>
        <w:bidi w:val="0"/>
        <w:rPr>
          <w:rFonts w:hint="default" w:ascii="Arial" w:hAnsi="Arial" w:eastAsia="Arial" w:cs="Arial"/>
          <w:snapToGrid w:val="0"/>
          <w:color w:val="auto"/>
          <w:kern w:val="0"/>
          <w:sz w:val="21"/>
          <w:szCs w:val="21"/>
          <w:highlight w:val="none"/>
          <w:lang w:val="en-US" w:eastAsia="en-US" w:bidi="ar-SA"/>
        </w:rPr>
      </w:pPr>
      <w:r>
        <w:rPr>
          <w:rFonts w:hint="eastAsia" w:ascii="宋体" w:hAnsi="宋体" w:eastAsia="宋体" w:cs="宋体"/>
          <w:i w:val="0"/>
          <w:snapToGrid w:val="0"/>
          <w:color w:val="000000"/>
          <w:kern w:val="0"/>
          <w:sz w:val="16"/>
          <w:szCs w:val="16"/>
          <w:u w:val="none"/>
          <w:lang w:val="en-US" w:eastAsia="zh-CN" w:bidi="ar"/>
        </w:rPr>
        <w:t>说明：安仁县消防救援大队没有预算财政拨款“三公”经费，也没有安排支出，故本表无数据。</w:t>
      </w:r>
    </w:p>
    <w:p>
      <w:pPr>
        <w:bidi w:val="0"/>
        <w:rPr>
          <w:rFonts w:hint="default"/>
          <w:color w:val="auto"/>
          <w:highlight w:val="none"/>
          <w:lang w:val="en-US" w:eastAsia="en-US"/>
        </w:rPr>
      </w:pPr>
    </w:p>
    <w:p>
      <w:pPr>
        <w:bidi w:val="0"/>
        <w:rPr>
          <w:rFonts w:hint="default"/>
          <w:color w:val="auto"/>
          <w:highlight w:val="none"/>
          <w:lang w:val="en-US" w:eastAsia="en-US"/>
        </w:rPr>
      </w:pPr>
    </w:p>
    <w:p>
      <w:pPr>
        <w:bidi w:val="0"/>
        <w:rPr>
          <w:rFonts w:hint="default"/>
          <w:color w:val="auto"/>
          <w:highlight w:val="none"/>
          <w:lang w:val="en-US" w:eastAsia="en-US"/>
        </w:rPr>
      </w:pPr>
    </w:p>
    <w:p>
      <w:pPr>
        <w:bidi w:val="0"/>
        <w:rPr>
          <w:rFonts w:hint="default"/>
          <w:color w:val="auto"/>
          <w:highlight w:val="none"/>
          <w:lang w:val="en-US" w:eastAsia="en-US"/>
        </w:rPr>
      </w:pPr>
    </w:p>
    <w:p>
      <w:pPr>
        <w:bidi w:val="0"/>
        <w:rPr>
          <w:rFonts w:hint="default"/>
          <w:color w:val="auto"/>
          <w:highlight w:val="none"/>
          <w:lang w:val="en-US" w:eastAsia="en-US"/>
        </w:rPr>
      </w:pPr>
    </w:p>
    <w:p>
      <w:pPr>
        <w:tabs>
          <w:tab w:val="center" w:pos="4320"/>
        </w:tabs>
        <w:bidi w:val="0"/>
        <w:jc w:val="left"/>
        <w:rPr>
          <w:rFonts w:hint="eastAsia" w:eastAsia="宋体"/>
          <w:color w:val="auto"/>
          <w:highlight w:val="none"/>
          <w:lang w:val="en-US" w:eastAsia="zh-CN"/>
        </w:rPr>
        <w:sectPr>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r>
        <w:rPr>
          <w:rFonts w:hint="eastAsia" w:eastAsia="宋体"/>
          <w:color w:val="auto"/>
          <w:highlight w:val="none"/>
          <w:lang w:val="en-US" w:eastAsia="zh-CN"/>
        </w:rPr>
        <w:tab/>
      </w:r>
    </w:p>
    <w:p>
      <w:pPr>
        <w:pStyle w:val="5"/>
        <w:spacing w:line="248" w:lineRule="auto"/>
        <w:rPr>
          <w:rFonts w:hint="default" w:ascii="Times New Roman" w:hAnsi="Times New Roman" w:cs="Times New Roman"/>
          <w:color w:val="auto"/>
          <w:highlight w:val="none"/>
        </w:rPr>
      </w:pPr>
      <w:bookmarkStart w:id="10" w:name="bookmark39"/>
      <w:bookmarkEnd w:id="10"/>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r>
        <w:rPr>
          <w:rFonts w:hint="eastAsia" w:ascii="方正黑体_GBK" w:hAnsi="方正黑体_GBK" w:eastAsia="方正黑体_GBK" w:cs="方正黑体_GBK"/>
          <w:b/>
          <w:bCs/>
          <w:color w:val="auto"/>
          <w:spacing w:val="-1"/>
          <w:sz w:val="56"/>
          <w:szCs w:val="56"/>
          <w:highlight w:val="none"/>
        </w:rPr>
        <mc:AlternateContent>
          <mc:Choice Requires="wps">
            <w:drawing>
              <wp:anchor distT="0" distB="0" distL="0" distR="0" simplePos="0" relativeHeight="251666432" behindDoc="1" locked="0" layoutInCell="1" allowOverlap="1">
                <wp:simplePos x="0" y="0"/>
                <wp:positionH relativeFrom="column">
                  <wp:posOffset>10795</wp:posOffset>
                </wp:positionH>
                <wp:positionV relativeFrom="paragraph">
                  <wp:posOffset>5715</wp:posOffset>
                </wp:positionV>
                <wp:extent cx="7560310" cy="1800225"/>
                <wp:effectExtent l="0" t="0" r="2540" b="9525"/>
                <wp:wrapNone/>
                <wp:docPr id="8" name="Rect 8"/>
                <wp:cNvGraphicFramePr/>
                <a:graphic xmlns:a="http://schemas.openxmlformats.org/drawingml/2006/main">
                  <a:graphicData uri="http://schemas.microsoft.com/office/word/2010/wordprocessingShape">
                    <wps:wsp>
                      <wps:cNvSpPr/>
                      <wps:spPr>
                        <a:xfrm>
                          <a:off x="0" y="-40503"/>
                          <a:ext cx="756031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宋体"/>
                                <w:lang w:val="en-US" w:eastAsia="zh-CN"/>
                              </w:rPr>
                            </w:pPr>
                            <w:r>
                              <w:rPr>
                                <w:rFonts w:hint="eastAsia" w:eastAsia="宋体"/>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8" o:spid="_x0000_s1026" o:spt="1" style="position:absolute;left:0pt;margin-left:0.85pt;margin-top:0.45pt;height:141.75pt;width:595.3pt;z-index:-251650048;mso-width-relative:page;mso-height-relative:page;" fillcolor="#92D050" filled="t" stroked="f" coordsize="21600,21600" o:gfxdata="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2JwhnUAAAABwEAAA8AAAAAAAAAAQAgAAAAIgAAAGRycy9k&#10;b3ducmV2LnhtbFBLAQIUABQAAAAIAIdO4kBYg0mQPwIAAJQEAAAOAAAAAAAAAAEAIAAAACMBAABk&#10;cnMvZTJvRG9jLnhtbFBLBQYAAAAABgAGAFkBAADUBQAAAAA=&#10;">
                <v:fill on="t" opacity="57311f" focussize="0,0"/>
                <v:stroke on="f" weight="0pt"/>
                <v:imagedata o:title=""/>
                <o:lock v:ext="edit" aspectratio="f"/>
                <v:textbox inset="0mm,0mm,0mm,0mm">
                  <w:txbxContent>
                    <w:p>
                      <w:pPr>
                        <w:jc w:val="center"/>
                        <w:rPr>
                          <w:rFonts w:hint="eastAsia" w:eastAsia="宋体"/>
                          <w:lang w:val="en-US" w:eastAsia="zh-CN"/>
                        </w:rPr>
                      </w:pPr>
                      <w:r>
                        <w:rPr>
                          <w:rFonts w:hint="eastAsia" w:eastAsia="宋体"/>
                          <w:lang w:val="en-US" w:eastAsia="zh-CN"/>
                        </w:rPr>
                        <w:t>.</w:t>
                      </w:r>
                    </w:p>
                  </w:txbxContent>
                </v:textbox>
              </v:rect>
            </w:pict>
          </mc:Fallback>
        </mc:AlternateContent>
      </w:r>
      <w:r>
        <w:rPr>
          <w:rFonts w:hint="default" w:ascii="Times New Roman" w:hAnsi="Times New Roman" w:cs="Times New Roman"/>
          <w:color w:val="auto"/>
          <w:highlight w:val="none"/>
        </w:rPr>
        <w:pict>
          <v:shape id="_x0000_s1030" o:spid="_x0000_s1030" style="position:absolute;left:0pt;margin-left:4pt;margin-top:0.7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pPr>
        <w:pStyle w:val="5"/>
        <w:spacing w:line="248" w:lineRule="auto"/>
        <w:rPr>
          <w:rFonts w:hint="default" w:ascii="Times New Roman" w:hAnsi="Times New Roman" w:cs="Times New Roman"/>
          <w:color w:val="auto"/>
          <w:highlight w:val="none"/>
        </w:rPr>
      </w:pPr>
    </w:p>
    <w:p>
      <w:pPr>
        <w:pStyle w:val="5"/>
        <w:spacing w:line="248" w:lineRule="auto"/>
        <w:rPr>
          <w:rFonts w:hint="default" w:ascii="Times New Roman" w:hAnsi="Times New Roman" w:cs="Times New Roman"/>
          <w:color w:val="auto"/>
          <w:highlight w:val="none"/>
        </w:rPr>
      </w:pPr>
    </w:p>
    <w:p>
      <w:pPr>
        <w:spacing w:before="190" w:line="232" w:lineRule="auto"/>
        <w:outlineLvl w:val="0"/>
        <w:rPr>
          <w:rFonts w:hint="eastAsia" w:ascii="方正黑体_GBK" w:hAnsi="方正黑体_GBK" w:eastAsia="方正黑体_GBK" w:cs="方正黑体_GBK"/>
          <w:color w:val="auto"/>
          <w:sz w:val="72"/>
          <w:szCs w:val="72"/>
          <w:highlight w:val="none"/>
        </w:rPr>
      </w:pPr>
      <w:bookmarkStart w:id="11" w:name="bookmark42"/>
      <w:bookmarkEnd w:id="11"/>
      <w:bookmarkStart w:id="12" w:name="_Toc1307376636"/>
      <w:r>
        <w:rPr>
          <w:rFonts w:hint="eastAsia" w:ascii="方正黑体_GBK" w:hAnsi="方正黑体_GBK" w:eastAsia="方正黑体_GBK" w:cs="方正黑体_GBK"/>
          <w:b w:val="0"/>
          <w:bCs w:val="0"/>
          <w:color w:val="auto"/>
          <w:spacing w:val="-1"/>
          <w:sz w:val="72"/>
          <w:szCs w:val="72"/>
          <w:highlight w:val="none"/>
        </w:rPr>
        <w:t>第三部分</w:t>
      </w:r>
      <w:bookmarkEnd w:id="12"/>
      <w:bookmarkStart w:id="13" w:name="_Toc1054484946"/>
      <w:r>
        <w:rPr>
          <w:rFonts w:hint="default" w:ascii="方正黑体_GBK" w:hAnsi="方正黑体_GBK" w:eastAsia="方正黑体_GBK" w:cs="方正黑体_GBK"/>
          <w:b w:val="0"/>
          <w:bCs w:val="0"/>
          <w:color w:val="auto"/>
          <w:spacing w:val="-1"/>
          <w:sz w:val="72"/>
          <w:szCs w:val="72"/>
          <w:highlight w:val="none"/>
          <w:lang w:val="en-US"/>
        </w:rPr>
        <w:pict>
          <v:shape id="_x0000_s1031" o:spid="_x0000_s1031" style="position:absolute;left:0pt;margin-left:0.25pt;margin-top:102.35pt;height:0.5pt;width:595.35pt;z-index:251668480;mso-width-relative:page;mso-height-relative:page;" filled="f" stroked="t" coordsize="11906,10" path="m-287,5l11951,5e">
            <v:fill on="f" focussize="0,0"/>
            <v:stroke weight="0.5pt" color="#000000" miterlimit="10" joinstyle="miter" endcap="round"/>
            <v:imagedata o:title=""/>
            <o:lock v:ext="edit"/>
          </v:shape>
        </w:pict>
      </w:r>
      <w:bookmarkStart w:id="14" w:name="bookmark15"/>
      <w:bookmarkEnd w:id="14"/>
      <w:r>
        <w:rPr>
          <w:rFonts w:hint="eastAsia" w:ascii="方正黑体_GBK" w:hAnsi="方正黑体_GBK" w:eastAsia="方正黑体_GBK" w:cs="方正黑体_GBK"/>
          <w:b w:val="0"/>
          <w:bCs w:val="0"/>
          <w:color w:val="auto"/>
          <w:spacing w:val="-1"/>
          <w:sz w:val="72"/>
          <w:szCs w:val="72"/>
          <w:highlight w:val="none"/>
          <w:lang w:val="en-US" w:eastAsia="zh-CN"/>
        </w:rPr>
        <w:t xml:space="preserve">  </w:t>
      </w:r>
      <w:r>
        <w:rPr>
          <w:rFonts w:hint="eastAsia" w:ascii="方正黑体_GBK" w:hAnsi="方正黑体_GBK" w:eastAsia="方正黑体_GBK" w:cs="方正黑体_GBK"/>
          <w:b w:val="0"/>
          <w:bCs w:val="0"/>
          <w:color w:val="auto"/>
          <w:spacing w:val="-1"/>
          <w:sz w:val="72"/>
          <w:szCs w:val="72"/>
          <w:highlight w:val="none"/>
        </w:rPr>
        <w:t>202</w:t>
      </w:r>
      <w:r>
        <w:rPr>
          <w:rFonts w:hint="eastAsia" w:ascii="方正黑体_GBK" w:hAnsi="方正黑体_GBK" w:eastAsia="方正黑体_GBK" w:cs="方正黑体_GBK"/>
          <w:b w:val="0"/>
          <w:bCs w:val="0"/>
          <w:color w:val="auto"/>
          <w:spacing w:val="-1"/>
          <w:sz w:val="72"/>
          <w:szCs w:val="72"/>
          <w:highlight w:val="none"/>
          <w:lang w:val="en-US" w:eastAsia="zh-CN"/>
        </w:rPr>
        <w:t>5</w:t>
      </w:r>
      <w:r>
        <w:rPr>
          <w:rFonts w:hint="eastAsia" w:ascii="方正黑体_GBK" w:hAnsi="方正黑体_GBK" w:eastAsia="方正黑体_GBK" w:cs="方正黑体_GBK"/>
          <w:b w:val="0"/>
          <w:bCs w:val="0"/>
          <w:color w:val="auto"/>
          <w:spacing w:val="-1"/>
          <w:sz w:val="72"/>
          <w:szCs w:val="72"/>
          <w:highlight w:val="none"/>
        </w:rPr>
        <w:t>年度</w:t>
      </w:r>
      <w:r>
        <w:rPr>
          <w:rFonts w:hint="eastAsia" w:ascii="方正黑体_GBK" w:hAnsi="方正黑体_GBK" w:eastAsia="方正黑体_GBK" w:cs="方正黑体_GBK"/>
          <w:b w:val="0"/>
          <w:bCs w:val="0"/>
          <w:color w:val="auto"/>
          <w:spacing w:val="-1"/>
          <w:sz w:val="72"/>
          <w:szCs w:val="72"/>
          <w:highlight w:val="none"/>
          <w:lang w:eastAsia="zh-CN"/>
        </w:rPr>
        <w:t>经费</w:t>
      </w:r>
      <w:r>
        <w:rPr>
          <w:rFonts w:hint="eastAsia" w:ascii="方正黑体_GBK" w:hAnsi="方正黑体_GBK" w:eastAsia="方正黑体_GBK" w:cs="方正黑体_GBK"/>
          <w:b w:val="0"/>
          <w:bCs w:val="0"/>
          <w:color w:val="auto"/>
          <w:spacing w:val="-1"/>
          <w:sz w:val="72"/>
          <w:szCs w:val="72"/>
          <w:highlight w:val="none"/>
        </w:rPr>
        <w:t>决算情况说明</w:t>
      </w:r>
      <w:bookmarkEnd w:id="13"/>
    </w:p>
    <w:p>
      <w:pPr>
        <w:spacing w:line="231" w:lineRule="auto"/>
        <w:rPr>
          <w:rFonts w:hint="default" w:ascii="Times New Roman" w:hAnsi="Times New Roman" w:eastAsia="方正黑体_GBK" w:cs="Times New Roman"/>
          <w:color w:val="auto"/>
          <w:sz w:val="72"/>
          <w:szCs w:val="72"/>
          <w:highlight w:val="none"/>
        </w:rPr>
        <w:sectPr>
          <w:footerReference r:id="rId10"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15" w:name="_Toc631281580"/>
      <w:r>
        <w:rPr>
          <w:rFonts w:hint="default" w:ascii="Times New Roman" w:hAnsi="Times New Roman" w:eastAsia="方正黑体_GBK" w:cs="Times New Roman"/>
          <w:color w:val="auto"/>
          <w:spacing w:val="7"/>
          <w:sz w:val="32"/>
          <w:szCs w:val="32"/>
          <w:highlight w:val="none"/>
        </w:rPr>
        <w:t>一、收入支出决算总体情况说明</w:t>
      </w:r>
      <w:bookmarkEnd w:id="15"/>
    </w:p>
    <w:p>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627"/>
        <w:jc w:val="both"/>
        <w:textAlignment w:val="baseline"/>
        <w:rPr>
          <w:rFonts w:hint="eastAsia" w:ascii="方正仿宋_GBK" w:hAnsi="方正仿宋_GBK" w:eastAsia="方正仿宋_GBK" w:cs="方正仿宋_GBK"/>
          <w:spacing w:val="3"/>
          <w:sz w:val="31"/>
          <w:szCs w:val="31"/>
          <w:lang w:val="en-US" w:eastAsia="zh-CN"/>
        </w:rPr>
      </w:pPr>
      <w:r>
        <w:rPr>
          <w:rFonts w:hint="eastAsia" w:ascii="Times New Roman" w:hAnsi="Times New Roman" w:eastAsia="方正仿宋_GBK" w:cs="Times New Roman"/>
          <w:color w:val="auto"/>
          <w:spacing w:val="2"/>
          <w:sz w:val="32"/>
          <w:szCs w:val="32"/>
          <w:highlight w:val="none"/>
          <w:lang w:val="en-US" w:eastAsia="zh-CN"/>
        </w:rPr>
        <w:t>安仁县消防救援大队</w:t>
      </w:r>
      <w:r>
        <w:rPr>
          <w:rFonts w:hint="default" w:ascii="Times New Roman" w:hAnsi="Times New Roman" w:eastAsia="方正仿宋_GBK" w:cs="Times New Roman"/>
          <w:color w:val="auto"/>
          <w:spacing w:val="2"/>
          <w:sz w:val="32"/>
          <w:szCs w:val="32"/>
          <w:highlight w:val="none"/>
          <w:lang w:val="en-US" w:eastAsia="zh-CN"/>
        </w:rPr>
        <w:t>收入支出决算包括国家综合性消防救援队伍及负责管理的政府专职消防队收入支出。2025年度收、支</w:t>
      </w:r>
      <w:r>
        <w:rPr>
          <w:rFonts w:hint="eastAsia" w:ascii="Times New Roman" w:hAnsi="Times New Roman" w:eastAsia="方正仿宋_GBK" w:cs="Times New Roman"/>
          <w:color w:val="auto"/>
          <w:spacing w:val="2"/>
          <w:sz w:val="32"/>
          <w:szCs w:val="32"/>
          <w:highlight w:val="none"/>
          <w:lang w:val="en-US" w:eastAsia="zh-CN"/>
        </w:rPr>
        <w:t>总额均</w:t>
      </w:r>
      <w:r>
        <w:rPr>
          <w:rFonts w:hint="default" w:ascii="Times New Roman" w:hAnsi="Times New Roman" w:eastAsia="方正仿宋_GBK" w:cs="Times New Roman"/>
          <w:color w:val="auto"/>
          <w:spacing w:val="2"/>
          <w:sz w:val="32"/>
          <w:szCs w:val="32"/>
          <w:highlight w:val="none"/>
          <w:lang w:val="en-US" w:eastAsia="zh-CN"/>
        </w:rPr>
        <w:t>为2,242.67万元</w:t>
      </w:r>
      <w:r>
        <w:rPr>
          <w:rFonts w:hint="default" w:ascii="Times New Roman" w:hAnsi="Times New Roman" w:eastAsia="宋体" w:cs="Times New Roman"/>
          <w:b w:val="0"/>
          <w:bCs w:val="0"/>
          <w:color w:val="auto"/>
          <w:position w:val="9"/>
          <w:sz w:val="22"/>
          <w:szCs w:val="22"/>
          <w:highlight w:val="none"/>
        </w:rPr>
        <w:t>1</w:t>
      </w:r>
      <w:r>
        <w:rPr>
          <w:rFonts w:hint="eastAsia" w:ascii="Times New Roman" w:hAnsi="Times New Roman" w:eastAsia="方正仿宋_GBK" w:cs="Times New Roman"/>
          <w:color w:val="auto"/>
          <w:spacing w:val="2"/>
          <w:sz w:val="32"/>
          <w:szCs w:val="32"/>
          <w:highlight w:val="none"/>
          <w:lang w:val="en-US" w:eastAsia="zh-CN"/>
        </w:rPr>
        <w:t>，全部为一般公共预算</w:t>
      </w:r>
      <w:r>
        <w:rPr>
          <w:rFonts w:hint="default" w:ascii="Times New Roman" w:hAnsi="Times New Roman" w:eastAsia="方正仿宋_GBK" w:cs="Times New Roman"/>
          <w:color w:val="auto"/>
          <w:spacing w:val="2"/>
          <w:sz w:val="32"/>
          <w:szCs w:val="32"/>
          <w:highlight w:val="none"/>
          <w:lang w:val="en-US" w:eastAsia="zh-CN"/>
        </w:rPr>
        <w:t>。与2024年度相比，收、支</w:t>
      </w:r>
      <w:r>
        <w:rPr>
          <w:rFonts w:hint="eastAsia" w:ascii="Times New Roman" w:hAnsi="Times New Roman" w:eastAsia="方正仿宋_GBK" w:cs="Times New Roman"/>
          <w:color w:val="auto"/>
          <w:spacing w:val="2"/>
          <w:sz w:val="32"/>
          <w:szCs w:val="32"/>
          <w:highlight w:val="none"/>
          <w:lang w:val="en-US" w:eastAsia="zh-CN"/>
        </w:rPr>
        <w:t>总额均增加245.6</w:t>
      </w:r>
      <w:r>
        <w:rPr>
          <w:rFonts w:hint="default" w:ascii="Times New Roman" w:hAnsi="Times New Roman" w:eastAsia="方正仿宋_GBK" w:cs="Times New Roman"/>
          <w:color w:val="auto"/>
          <w:spacing w:val="2"/>
          <w:sz w:val="32"/>
          <w:szCs w:val="32"/>
          <w:highlight w:val="none"/>
          <w:lang w:val="en-US" w:eastAsia="zh-CN"/>
        </w:rPr>
        <w:t>万元，</w:t>
      </w:r>
      <w:r>
        <w:rPr>
          <w:rFonts w:hint="eastAsia" w:ascii="Times New Roman" w:hAnsi="Times New Roman" w:eastAsia="方正仿宋_GBK"/>
          <w:color w:val="000000"/>
          <w:kern w:val="0"/>
          <w:sz w:val="32"/>
          <w:szCs w:val="32"/>
          <w:highlight w:val="none"/>
        </w:rPr>
        <w:t>增长</w:t>
      </w:r>
      <w:r>
        <w:rPr>
          <w:rFonts w:hint="eastAsia" w:ascii="Times New Roman" w:hAnsi="Times New Roman" w:eastAsia="方正仿宋_GBK"/>
          <w:color w:val="000000"/>
          <w:kern w:val="0"/>
          <w:sz w:val="32"/>
          <w:szCs w:val="32"/>
          <w:highlight w:val="none"/>
          <w:lang w:val="en-US" w:eastAsia="zh-CN"/>
        </w:rPr>
        <w:t>12.3</w:t>
      </w:r>
      <w:r>
        <w:rPr>
          <w:rFonts w:hint="default" w:ascii="Times New Roman" w:hAnsi="Times New Roman" w:eastAsia="方正仿宋_GBK" w:cs="Times New Roman"/>
          <w:color w:val="auto"/>
          <w:spacing w:val="2"/>
          <w:sz w:val="32"/>
          <w:szCs w:val="32"/>
          <w:highlight w:val="none"/>
          <w:lang w:val="en-US" w:eastAsia="zh-CN"/>
        </w:rPr>
        <w:t>%，</w:t>
      </w:r>
      <w:r>
        <w:rPr>
          <w:rFonts w:hint="eastAsia" w:ascii="Times New Roman" w:hAnsi="Times New Roman" w:eastAsia="方正仿宋_GBK"/>
          <w:color w:val="000000"/>
          <w:kern w:val="0"/>
          <w:sz w:val="32"/>
          <w:szCs w:val="32"/>
          <w:highlight w:val="none"/>
        </w:rPr>
        <w:t>增长</w:t>
      </w:r>
      <w:r>
        <w:rPr>
          <w:rFonts w:hint="default" w:ascii="Times New Roman" w:hAnsi="Times New Roman" w:eastAsia="方正仿宋_GBK" w:cs="Times New Roman"/>
          <w:color w:val="auto"/>
          <w:spacing w:val="8"/>
          <w:sz w:val="32"/>
          <w:szCs w:val="32"/>
          <w:highlight w:val="none"/>
        </w:rPr>
        <w:t>的</w:t>
      </w:r>
      <w:r>
        <w:rPr>
          <w:rFonts w:hint="eastAsia" w:ascii="Times New Roman" w:hAnsi="Times New Roman" w:eastAsia="方正仿宋_GBK" w:cs="Times New Roman"/>
          <w:color w:val="auto"/>
          <w:spacing w:val="8"/>
          <w:sz w:val="32"/>
          <w:szCs w:val="32"/>
          <w:highlight w:val="none"/>
          <w:lang w:eastAsia="zh-CN"/>
        </w:rPr>
        <w:t>主要</w:t>
      </w:r>
      <w:r>
        <w:rPr>
          <w:rFonts w:hint="default" w:ascii="Times New Roman" w:hAnsi="Times New Roman" w:eastAsia="方正仿宋_GBK" w:cs="Times New Roman"/>
          <w:color w:val="auto"/>
          <w:spacing w:val="8"/>
          <w:sz w:val="32"/>
          <w:szCs w:val="32"/>
          <w:highlight w:val="none"/>
        </w:rPr>
        <w:t>原</w:t>
      </w:r>
      <w:r>
        <w:rPr>
          <w:rFonts w:hint="default" w:ascii="Times New Roman" w:hAnsi="Times New Roman" w:eastAsia="方正仿宋_GBK" w:cs="Times New Roman"/>
          <w:color w:val="auto"/>
          <w:spacing w:val="5"/>
          <w:sz w:val="32"/>
          <w:szCs w:val="32"/>
          <w:highlight w:val="none"/>
        </w:rPr>
        <w:t>因：</w:t>
      </w:r>
      <w:r>
        <w:rPr>
          <w:rFonts w:hint="eastAsia" w:ascii="方正仿宋_GBK" w:hAnsi="方正仿宋_GBK" w:eastAsia="方正仿宋_GBK" w:cs="方正仿宋_GBK"/>
          <w:spacing w:val="3"/>
          <w:sz w:val="31"/>
          <w:szCs w:val="31"/>
          <w:lang w:val="en-US" w:eastAsia="zh-CN"/>
        </w:rPr>
        <w:t>一</w:t>
      </w:r>
      <w:r>
        <w:rPr>
          <w:rFonts w:ascii="方正仿宋_GBK" w:hAnsi="方正仿宋_GBK" w:eastAsia="方正仿宋_GBK" w:cs="方正仿宋_GBK"/>
          <w:spacing w:val="3"/>
          <w:sz w:val="31"/>
          <w:szCs w:val="31"/>
        </w:rPr>
        <w:t>是地方财</w:t>
      </w:r>
      <w:r>
        <w:rPr>
          <w:rFonts w:ascii="方正仿宋_GBK" w:hAnsi="方正仿宋_GBK" w:eastAsia="方正仿宋_GBK" w:cs="方正仿宋_GBK"/>
          <w:spacing w:val="2"/>
          <w:sz w:val="31"/>
          <w:szCs w:val="31"/>
        </w:rPr>
        <w:t>政保</w:t>
      </w:r>
      <w:r>
        <w:rPr>
          <w:rFonts w:ascii="方正仿宋_GBK" w:hAnsi="方正仿宋_GBK" w:eastAsia="方正仿宋_GBK" w:cs="方正仿宋_GBK"/>
          <w:spacing w:val="5"/>
          <w:sz w:val="31"/>
          <w:szCs w:val="31"/>
        </w:rPr>
        <w:t>障的政府专职消防队员和文员增加，相应增加收支</w:t>
      </w:r>
      <w:r>
        <w:rPr>
          <w:rFonts w:hint="eastAsia" w:ascii="方正仿宋_GBK" w:hAnsi="方正仿宋_GBK" w:eastAsia="方正仿宋_GBK" w:cs="方正仿宋_GBK"/>
          <w:spacing w:val="5"/>
          <w:sz w:val="31"/>
          <w:szCs w:val="31"/>
          <w:lang w:eastAsia="zh-CN"/>
        </w:rPr>
        <w:t>，</w:t>
      </w:r>
      <w:r>
        <w:rPr>
          <w:rFonts w:hint="eastAsia" w:ascii="方正仿宋_GBK" w:hAnsi="方正仿宋_GBK" w:eastAsia="方正仿宋_GBK" w:cs="方正仿宋_GBK"/>
          <w:spacing w:val="3"/>
          <w:sz w:val="31"/>
          <w:szCs w:val="31"/>
          <w:lang w:val="en-US" w:eastAsia="zh-CN"/>
        </w:rPr>
        <w:t>当年预算比上年增加了32.1万元；二是2025年年初结转包含了国债结转资金276.98万元，2025年国债资金支出170.07万元。</w:t>
      </w: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textAlignment w:val="baseline"/>
        <w:rPr>
          <w:rFonts w:hint="default" w:ascii="Times New Roman" w:hAnsi="Times New Roman" w:eastAsia="仿宋" w:cs="Times New Roman"/>
          <w:color w:val="auto"/>
          <w:spacing w:val="-1"/>
          <w:sz w:val="18"/>
          <w:szCs w:val="18"/>
          <w:highlight w:val="none"/>
        </w:rPr>
        <w:sectPr>
          <w:footerReference r:id="rId11"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r>
        <w:drawing>
          <wp:inline distT="0" distB="0" distL="114300" distR="114300">
            <wp:extent cx="4826000" cy="2743200"/>
            <wp:effectExtent l="4445" t="4445" r="15875" b="1079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Start w:id="16" w:name="bookmark43"/>
      <w:bookmarkEnd w:id="16"/>
      <w:r>
        <w:rPr>
          <w:rFonts w:hint="eastAsia" w:eastAsia="宋体"/>
          <w:lang w:val="en-US" w:eastAsia="zh-CN"/>
        </w:rPr>
        <w:t xml:space="preserve">                      </w:t>
      </w:r>
      <w:r>
        <w:rPr>
          <w:rFonts w:hint="default" w:ascii="Times New Roman" w:hAnsi="Times New Roman" w:eastAsia="宋体" w:cs="Times New Roman"/>
          <w:color w:val="auto"/>
          <w:position w:val="9"/>
          <w:sz w:val="9"/>
          <w:szCs w:val="9"/>
          <w:highlight w:val="none"/>
        </w:rPr>
        <w:t>1</w:t>
      </w:r>
      <w:r>
        <w:rPr>
          <w:rFonts w:hint="default" w:ascii="Times New Roman" w:hAnsi="Times New Roman" w:eastAsia="仿宋" w:cs="Times New Roman"/>
          <w:color w:val="auto"/>
          <w:sz w:val="18"/>
          <w:szCs w:val="18"/>
          <w:highlight w:val="none"/>
        </w:rPr>
        <w:t>数据来自部门决算批复表，批复表金额单位转换时可能</w:t>
      </w:r>
      <w:r>
        <w:rPr>
          <w:rFonts w:hint="default" w:ascii="Times New Roman" w:hAnsi="Times New Roman" w:eastAsia="仿宋" w:cs="Times New Roman"/>
          <w:color w:val="auto"/>
          <w:spacing w:val="-1"/>
          <w:sz w:val="18"/>
          <w:szCs w:val="18"/>
          <w:highlight w:val="none"/>
        </w:rPr>
        <w:t>存在尾数误差，下同。</w:t>
      </w:r>
    </w:p>
    <w:p>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outlineLvl w:val="0"/>
        <w:rPr>
          <w:rFonts w:hint="eastAsia" w:ascii="方正黑体_GBK" w:hAnsi="方正黑体_GBK" w:eastAsia="方正黑体_GBK" w:cs="方正黑体_GBK"/>
          <w:color w:val="auto"/>
          <w:spacing w:val="2"/>
          <w:sz w:val="32"/>
          <w:szCs w:val="32"/>
          <w:highlight w:val="none"/>
          <w:lang w:val="en-US" w:eastAsia="zh-CN"/>
        </w:rPr>
      </w:pPr>
      <w:bookmarkStart w:id="17" w:name="_Toc1943210716"/>
      <w:r>
        <w:rPr>
          <w:rFonts w:hint="eastAsia" w:ascii="方正黑体_GBK" w:hAnsi="方正黑体_GBK" w:eastAsia="方正黑体_GBK" w:cs="方正黑体_GBK"/>
          <w:color w:val="auto"/>
          <w:spacing w:val="2"/>
          <w:sz w:val="32"/>
          <w:szCs w:val="32"/>
          <w:highlight w:val="none"/>
          <w:lang w:val="en-US" w:eastAsia="zh-CN"/>
        </w:rPr>
        <w:t>二、收入决算情况说明</w:t>
      </w:r>
      <w:bookmarkEnd w:id="17"/>
    </w:p>
    <w:p>
      <w:pPr>
        <w:keepNext w:val="0"/>
        <w:keepLines w:val="0"/>
        <w:pageBreakBefore w:val="0"/>
        <w:widowControl/>
        <w:kinsoku/>
        <w:wordWrap/>
        <w:overflowPunct w:val="0"/>
        <w:topLinePunct w:val="0"/>
        <w:autoSpaceDE w:val="0"/>
        <w:autoSpaceDN w:val="0"/>
        <w:bidi w:val="0"/>
        <w:adjustRightInd w:val="0"/>
        <w:snapToGrid w:val="0"/>
        <w:spacing w:line="360" w:lineRule="auto"/>
        <w:ind w:left="0" w:firstLine="629"/>
        <w:jc w:val="both"/>
        <w:textAlignment w:val="baseline"/>
        <w:rPr>
          <w:rFonts w:hint="default"/>
          <w:lang w:val="en-US" w:eastAsia="zh-CN"/>
        </w:rPr>
      </w:pPr>
      <w:r>
        <w:rPr>
          <w:rFonts w:hint="default" w:ascii="Times New Roman" w:hAnsi="Times New Roman" w:eastAsia="方正仿宋_GBK" w:cs="Times New Roman"/>
          <w:color w:val="auto"/>
          <w:spacing w:val="2"/>
          <w:sz w:val="32"/>
          <w:szCs w:val="32"/>
          <w:highlight w:val="none"/>
          <w:lang w:val="en-US" w:eastAsia="zh-CN"/>
        </w:rPr>
        <w:t>2025年度收入合计1</w:t>
      </w:r>
      <w:r>
        <w:rPr>
          <w:rFonts w:hint="default" w:ascii="Times New Roman" w:hAnsi="Times New Roman" w:eastAsia="方正仿宋_GBK" w:cs="Times New Roman"/>
          <w:color w:val="auto"/>
          <w:spacing w:val="11"/>
          <w:sz w:val="32"/>
          <w:szCs w:val="32"/>
          <w:highlight w:val="none"/>
          <w:lang w:eastAsia="zh-CN"/>
        </w:rPr>
        <w:t>,</w:t>
      </w:r>
      <w:r>
        <w:rPr>
          <w:rFonts w:hint="default" w:ascii="Times New Roman" w:hAnsi="Times New Roman" w:eastAsia="方正仿宋_GBK" w:cs="Times New Roman"/>
          <w:color w:val="auto"/>
          <w:spacing w:val="2"/>
          <w:sz w:val="32"/>
          <w:szCs w:val="32"/>
          <w:highlight w:val="none"/>
          <w:lang w:val="en-US" w:eastAsia="zh-CN"/>
        </w:rPr>
        <w:t>189.79万元，其中：财政拨款收入49.78万元，占</w:t>
      </w:r>
      <w:r>
        <w:rPr>
          <w:rFonts w:hint="eastAsia" w:ascii="Times New Roman" w:hAnsi="Times New Roman" w:eastAsia="方正仿宋_GBK" w:cs="Times New Roman"/>
          <w:color w:val="auto"/>
          <w:spacing w:val="2"/>
          <w:sz w:val="32"/>
          <w:szCs w:val="32"/>
          <w:highlight w:val="none"/>
          <w:lang w:val="en-US" w:eastAsia="zh-CN"/>
        </w:rPr>
        <w:t>4.18</w:t>
      </w:r>
      <w:r>
        <w:rPr>
          <w:rFonts w:hint="default" w:ascii="Times New Roman" w:hAnsi="Times New Roman" w:eastAsia="方正仿宋_GBK" w:cs="Times New Roman"/>
          <w:color w:val="auto"/>
          <w:spacing w:val="2"/>
          <w:sz w:val="32"/>
          <w:szCs w:val="32"/>
          <w:highlight w:val="none"/>
          <w:lang w:val="en-US" w:eastAsia="zh-CN"/>
        </w:rPr>
        <w:t>%；其他收入1</w:t>
      </w:r>
      <w:r>
        <w:rPr>
          <w:rFonts w:hint="default" w:ascii="Times New Roman" w:hAnsi="Times New Roman" w:eastAsia="方正仿宋_GBK" w:cs="Times New Roman"/>
          <w:color w:val="auto"/>
          <w:spacing w:val="11"/>
          <w:sz w:val="32"/>
          <w:szCs w:val="32"/>
          <w:highlight w:val="none"/>
          <w:lang w:eastAsia="zh-CN"/>
        </w:rPr>
        <w:t>,</w:t>
      </w:r>
      <w:r>
        <w:rPr>
          <w:rFonts w:hint="default" w:ascii="Times New Roman" w:hAnsi="Times New Roman" w:eastAsia="方正仿宋_GBK" w:cs="Times New Roman"/>
          <w:color w:val="auto"/>
          <w:spacing w:val="2"/>
          <w:sz w:val="32"/>
          <w:szCs w:val="32"/>
          <w:highlight w:val="none"/>
          <w:lang w:val="en-US" w:eastAsia="zh-CN"/>
        </w:rPr>
        <w:t>140.01万元，占</w:t>
      </w:r>
      <w:r>
        <w:rPr>
          <w:rFonts w:hint="eastAsia" w:ascii="Times New Roman" w:hAnsi="Times New Roman" w:eastAsia="方正仿宋_GBK" w:cs="Times New Roman"/>
          <w:color w:val="auto"/>
          <w:spacing w:val="2"/>
          <w:sz w:val="32"/>
          <w:szCs w:val="32"/>
          <w:highlight w:val="none"/>
          <w:lang w:val="en-US" w:eastAsia="zh-CN"/>
        </w:rPr>
        <w:t>95.82</w:t>
      </w:r>
      <w:r>
        <w:rPr>
          <w:rFonts w:hint="default" w:ascii="Times New Roman" w:hAnsi="Times New Roman" w:eastAsia="方正仿宋_GBK" w:cs="Times New Roman"/>
          <w:color w:val="auto"/>
          <w:spacing w:val="2"/>
          <w:sz w:val="32"/>
          <w:szCs w:val="32"/>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22"/>
        <w:jc w:val="both"/>
        <w:textAlignment w:val="baseline"/>
        <w:rPr>
          <w:rFonts w:hint="default" w:ascii="Times New Roman" w:hAnsi="Times New Roman" w:eastAsia="方正黑体_GBK" w:cs="Times New Roman"/>
          <w:color w:val="auto"/>
          <w:spacing w:val="7"/>
          <w:sz w:val="31"/>
          <w:szCs w:val="31"/>
          <w:highlight w:val="none"/>
        </w:rPr>
      </w:pPr>
      <w:r>
        <w:drawing>
          <wp:inline distT="0" distB="0" distL="114300" distR="114300">
            <wp:extent cx="4826000" cy="2743200"/>
            <wp:effectExtent l="4445" t="4445" r="15875" b="1079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pPr>
        <w:spacing w:before="71" w:line="236" w:lineRule="auto"/>
        <w:ind w:left="651"/>
        <w:outlineLvl w:val="0"/>
        <w:rPr>
          <w:rFonts w:hint="default" w:ascii="Times New Roman" w:hAnsi="Times New Roman" w:eastAsia="方正黑体_GBK" w:cs="Times New Roman"/>
          <w:color w:val="auto"/>
          <w:sz w:val="32"/>
          <w:szCs w:val="32"/>
          <w:highlight w:val="none"/>
        </w:rPr>
      </w:pPr>
      <w:bookmarkStart w:id="18" w:name="_Toc293"/>
      <w:r>
        <w:rPr>
          <w:rFonts w:hint="default" w:ascii="Times New Roman" w:hAnsi="Times New Roman" w:eastAsia="方正黑体_GBK" w:cs="Times New Roman"/>
          <w:color w:val="auto"/>
          <w:spacing w:val="7"/>
          <w:sz w:val="32"/>
          <w:szCs w:val="32"/>
          <w:highlight w:val="none"/>
        </w:rPr>
        <w:t>三、支出决算情况说明</w:t>
      </w:r>
      <w:bookmarkEnd w:id="18"/>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方正仿宋_GBK" w:cs="Times New Roman"/>
          <w:color w:val="auto"/>
          <w:spacing w:val="11"/>
          <w:sz w:val="32"/>
          <w:szCs w:val="32"/>
          <w:highlight w:val="none"/>
          <w:lang w:eastAsia="zh-CN"/>
        </w:rPr>
      </w:pPr>
      <w:r>
        <w:rPr>
          <w:rFonts w:hint="default" w:ascii="Times New Roman" w:hAnsi="Times New Roman" w:eastAsia="方正仿宋_GBK" w:cs="Times New Roman"/>
          <w:color w:val="auto"/>
          <w:spacing w:val="11"/>
          <w:sz w:val="32"/>
          <w:szCs w:val="32"/>
          <w:highlight w:val="none"/>
          <w:lang w:eastAsia="zh-CN"/>
        </w:rPr>
        <w:t>2025年度支出合计1,316.42万元，其中：基本支出483.99万元，占</w:t>
      </w:r>
      <w:r>
        <w:rPr>
          <w:rFonts w:hint="eastAsia" w:ascii="Times New Roman" w:hAnsi="Times New Roman" w:eastAsia="方正仿宋_GBK" w:cs="Times New Roman"/>
          <w:color w:val="auto"/>
          <w:spacing w:val="11"/>
          <w:sz w:val="32"/>
          <w:szCs w:val="32"/>
          <w:highlight w:val="none"/>
          <w:lang w:val="en-US" w:eastAsia="zh-CN"/>
        </w:rPr>
        <w:t>36.77</w:t>
      </w:r>
      <w:r>
        <w:rPr>
          <w:rFonts w:hint="default" w:ascii="Times New Roman" w:hAnsi="Times New Roman" w:eastAsia="方正仿宋_GBK" w:cs="Times New Roman"/>
          <w:color w:val="auto"/>
          <w:spacing w:val="11"/>
          <w:sz w:val="32"/>
          <w:szCs w:val="32"/>
          <w:highlight w:val="none"/>
          <w:lang w:eastAsia="zh-CN"/>
        </w:rPr>
        <w:t>%；项目支出832.42万元，占</w:t>
      </w:r>
      <w:r>
        <w:rPr>
          <w:rFonts w:hint="eastAsia" w:ascii="Times New Roman" w:hAnsi="Times New Roman" w:eastAsia="方正仿宋_GBK" w:cs="Times New Roman"/>
          <w:color w:val="auto"/>
          <w:spacing w:val="11"/>
          <w:sz w:val="32"/>
          <w:szCs w:val="32"/>
          <w:highlight w:val="none"/>
          <w:lang w:val="en-US" w:eastAsia="zh-CN"/>
        </w:rPr>
        <w:t>63.23</w:t>
      </w:r>
      <w:r>
        <w:rPr>
          <w:rFonts w:hint="default" w:ascii="Times New Roman" w:hAnsi="Times New Roman" w:eastAsia="方正仿宋_GBK" w:cs="Times New Roman"/>
          <w:color w:val="auto"/>
          <w:spacing w:val="11"/>
          <w:sz w:val="32"/>
          <w:szCs w:val="32"/>
          <w:highlight w:val="none"/>
          <w:lang w:eastAsia="zh-CN"/>
        </w:rPr>
        <w:t>%。</w:t>
      </w:r>
    </w:p>
    <w:p>
      <w:pPr>
        <w:spacing w:before="120" w:line="283" w:lineRule="auto"/>
        <w:jc w:val="both"/>
        <w:rPr>
          <w:rFonts w:hint="default" w:ascii="Times New Roman" w:hAnsi="Times New Roman" w:eastAsia="方正仿宋_GBK" w:cs="Times New Roman"/>
          <w:color w:val="auto"/>
          <w:spacing w:val="2"/>
          <w:sz w:val="31"/>
          <w:szCs w:val="31"/>
          <w:highlight w:val="none"/>
        </w:rPr>
      </w:pPr>
      <w:r>
        <w:drawing>
          <wp:inline distT="0" distB="0" distL="114300" distR="114300">
            <wp:extent cx="4826000" cy="2743200"/>
            <wp:effectExtent l="4445" t="4445" r="15875" b="10795"/>
            <wp:docPr id="12"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pPr>
        <w:spacing w:before="120" w:line="283" w:lineRule="auto"/>
        <w:ind w:firstLine="634"/>
        <w:jc w:val="both"/>
        <w:rPr>
          <w:rFonts w:hint="default" w:ascii="Times New Roman" w:hAnsi="Times New Roman" w:eastAsia="方正仿宋_GBK" w:cs="Times New Roman"/>
          <w:color w:val="auto"/>
          <w:spacing w:val="2"/>
          <w:sz w:val="31"/>
          <w:szCs w:val="31"/>
          <w:highlight w:val="none"/>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firstLine="334" w:firstLineChars="100"/>
        <w:jc w:val="both"/>
        <w:textAlignment w:val="baseline"/>
        <w:outlineLvl w:val="0"/>
        <w:rPr>
          <w:rFonts w:hint="default" w:ascii="Times New Roman" w:hAnsi="Times New Roman" w:eastAsia="方正黑体_GBK" w:cs="Times New Roman"/>
          <w:color w:val="auto"/>
          <w:spacing w:val="7"/>
          <w:sz w:val="32"/>
          <w:szCs w:val="32"/>
          <w:highlight w:val="none"/>
        </w:rPr>
      </w:pPr>
      <w:bookmarkStart w:id="19" w:name="_Toc990742335"/>
      <w:r>
        <w:rPr>
          <w:rFonts w:hint="eastAsia" w:ascii="Times New Roman" w:hAnsi="Times New Roman" w:eastAsia="方正黑体_GBK" w:cs="Times New Roman"/>
          <w:color w:val="auto"/>
          <w:spacing w:val="7"/>
          <w:sz w:val="32"/>
          <w:szCs w:val="32"/>
          <w:highlight w:val="none"/>
          <w:lang w:eastAsia="zh-CN"/>
        </w:rPr>
        <w:t>四、</w:t>
      </w:r>
      <w:r>
        <w:rPr>
          <w:rFonts w:hint="default" w:ascii="Times New Roman" w:hAnsi="Times New Roman" w:eastAsia="方正黑体_GBK" w:cs="Times New Roman"/>
          <w:color w:val="auto"/>
          <w:spacing w:val="7"/>
          <w:sz w:val="32"/>
          <w:szCs w:val="32"/>
          <w:highlight w:val="none"/>
        </w:rPr>
        <w:t>财政拨款收入支出决算总体情况说明</w:t>
      </w:r>
      <w:bookmarkEnd w:id="19"/>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84"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r>
        <w:rPr>
          <w:rFonts w:hint="default" w:ascii="Times New Roman" w:hAnsi="Times New Roman" w:eastAsia="方正仿宋_GBK" w:cs="Times New Roman"/>
          <w:color w:val="auto"/>
          <w:spacing w:val="11"/>
          <w:sz w:val="32"/>
          <w:szCs w:val="32"/>
          <w:highlight w:val="none"/>
          <w:lang w:eastAsia="zh-CN"/>
        </w:rPr>
        <w:t>2025</w:t>
      </w:r>
      <w:r>
        <w:rPr>
          <w:rFonts w:hint="eastAsia" w:ascii="Times New Roman" w:hAnsi="Times New Roman" w:eastAsia="方正仿宋_GBK" w:cs="Times New Roman"/>
          <w:color w:val="auto"/>
          <w:spacing w:val="11"/>
          <w:sz w:val="32"/>
          <w:szCs w:val="32"/>
          <w:highlight w:val="none"/>
          <w:lang w:eastAsia="zh-CN"/>
        </w:rPr>
        <w:t>年</w:t>
      </w:r>
      <w:r>
        <w:rPr>
          <w:rFonts w:hint="default" w:ascii="Times New Roman" w:hAnsi="Times New Roman" w:eastAsia="方正仿宋_GBK" w:cs="Times New Roman"/>
          <w:color w:val="auto"/>
          <w:spacing w:val="11"/>
          <w:sz w:val="32"/>
          <w:szCs w:val="32"/>
          <w:highlight w:val="none"/>
          <w:lang w:eastAsia="zh-CN"/>
        </w:rPr>
        <w:t>度财政拨款收、支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default" w:ascii="Times New Roman" w:hAnsi="Times New Roman" w:eastAsia="方正仿宋_GBK" w:cs="Times New Roman"/>
          <w:color w:val="auto"/>
          <w:spacing w:val="11"/>
          <w:sz w:val="32"/>
          <w:szCs w:val="32"/>
          <w:highlight w:val="none"/>
          <w:lang w:eastAsia="zh-CN"/>
        </w:rPr>
        <w:t>为</w:t>
      </w:r>
      <w:r>
        <w:rPr>
          <w:rFonts w:hint="eastAsia" w:ascii="Times New Roman" w:hAnsi="Times New Roman" w:eastAsia="方正仿宋_GBK" w:cs="Times New Roman"/>
          <w:color w:val="auto"/>
          <w:spacing w:val="11"/>
          <w:sz w:val="32"/>
          <w:szCs w:val="32"/>
          <w:highlight w:val="none"/>
          <w:lang w:val="en-US" w:eastAsia="zh-CN"/>
        </w:rPr>
        <w:t>49.78</w:t>
      </w:r>
      <w:r>
        <w:rPr>
          <w:rFonts w:hint="default" w:ascii="Times New Roman" w:hAnsi="Times New Roman" w:eastAsia="方正仿宋_GBK" w:cs="Times New Roman"/>
          <w:color w:val="auto"/>
          <w:spacing w:val="11"/>
          <w:sz w:val="32"/>
          <w:szCs w:val="32"/>
          <w:highlight w:val="none"/>
          <w:lang w:eastAsia="zh-CN"/>
        </w:rPr>
        <w:t>万元，与2024年度相比，财政拨款收、支</w:t>
      </w:r>
      <w:r>
        <w:rPr>
          <w:rFonts w:hint="eastAsia" w:ascii="Times New Roman" w:hAnsi="Times New Roman" w:eastAsia="方正仿宋_GBK" w:cs="Times New Roman"/>
          <w:color w:val="auto"/>
          <w:spacing w:val="11"/>
          <w:sz w:val="32"/>
          <w:szCs w:val="32"/>
          <w:highlight w:val="none"/>
          <w:lang w:eastAsia="zh-CN"/>
        </w:rPr>
        <w:t>总额均</w:t>
      </w:r>
      <w:r>
        <w:rPr>
          <w:rFonts w:hint="eastAsia" w:ascii="Times New Roman" w:hAnsi="Times New Roman" w:eastAsia="方正仿宋_GBK" w:cs="Times New Roman"/>
          <w:color w:val="auto"/>
          <w:spacing w:val="11"/>
          <w:sz w:val="32"/>
          <w:szCs w:val="32"/>
          <w:highlight w:val="none"/>
          <w:lang w:val="en-US" w:eastAsia="zh-CN"/>
        </w:rPr>
        <w:t>增加0.6</w:t>
      </w:r>
      <w:r>
        <w:rPr>
          <w:rFonts w:hint="default" w:ascii="Times New Roman" w:hAnsi="Times New Roman" w:eastAsia="方正仿宋_GBK" w:cs="Times New Roman"/>
          <w:color w:val="auto"/>
          <w:spacing w:val="11"/>
          <w:sz w:val="32"/>
          <w:szCs w:val="32"/>
          <w:highlight w:val="none"/>
          <w:lang w:eastAsia="zh-CN"/>
        </w:rPr>
        <w:t>万元，</w:t>
      </w:r>
      <w:r>
        <w:rPr>
          <w:rFonts w:hint="eastAsia" w:ascii="Times New Roman" w:hAnsi="Times New Roman" w:eastAsia="方正仿宋_GBK" w:cs="Times New Roman"/>
          <w:color w:val="auto"/>
          <w:spacing w:val="11"/>
          <w:sz w:val="32"/>
          <w:szCs w:val="32"/>
          <w:highlight w:val="none"/>
          <w:lang w:val="en-US" w:eastAsia="zh-CN"/>
        </w:rPr>
        <w:t>增长1.22</w:t>
      </w:r>
      <w:r>
        <w:rPr>
          <w:rFonts w:hint="default" w:ascii="Times New Roman" w:hAnsi="Times New Roman" w:eastAsia="方正仿宋_GBK" w:cs="Times New Roman"/>
          <w:color w:val="auto"/>
          <w:spacing w:val="11"/>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增长</w:t>
      </w:r>
      <w:r>
        <w:rPr>
          <w:rFonts w:hint="default" w:ascii="Times New Roman" w:hAnsi="Times New Roman" w:eastAsia="方正仿宋_GBK" w:cs="Times New Roman"/>
          <w:color w:val="auto"/>
          <w:spacing w:val="11"/>
          <w:sz w:val="32"/>
          <w:szCs w:val="32"/>
          <w:highlight w:val="none"/>
          <w:lang w:eastAsia="zh-CN"/>
        </w:rPr>
        <w:t>的主要原因</w:t>
      </w:r>
      <w:r>
        <w:rPr>
          <w:rFonts w:hint="eastAsia" w:ascii="Times New Roman" w:hAnsi="Times New Roman" w:eastAsia="方正仿宋_GBK" w:cs="Times New Roman"/>
          <w:color w:val="auto"/>
          <w:spacing w:val="11"/>
          <w:sz w:val="32"/>
          <w:szCs w:val="32"/>
          <w:highlight w:val="none"/>
          <w:lang w:eastAsia="zh-CN"/>
        </w:rPr>
        <w:t>是</w:t>
      </w:r>
      <w:r>
        <w:rPr>
          <w:rFonts w:hint="eastAsia" w:ascii="Times New Roman" w:hAnsi="Times New Roman" w:eastAsia="方正仿宋_GBK" w:cs="Times New Roman"/>
          <w:color w:val="auto"/>
          <w:spacing w:val="11"/>
          <w:sz w:val="32"/>
          <w:szCs w:val="32"/>
          <w:highlight w:val="none"/>
          <w:lang w:val="en-US" w:eastAsia="zh-CN"/>
        </w:rPr>
        <w:t>本年度行政编制人数增加，一下控制数公用经费项目增加。</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20" w:firstLineChars="200"/>
        <w:jc w:val="both"/>
        <w:textAlignment w:val="baseline"/>
        <w:outlineLvl w:val="9"/>
        <w:rPr>
          <w:rFonts w:hint="default" w:ascii="Times New Roman" w:hAnsi="Times New Roman" w:eastAsia="方正仿宋_GBK" w:cs="Times New Roman"/>
          <w:color w:val="auto"/>
          <w:spacing w:val="11"/>
          <w:sz w:val="31"/>
          <w:szCs w:val="31"/>
          <w:highlight w:val="none"/>
          <w:lang w:val="en-US" w:eastAsia="zh-CN"/>
        </w:rPr>
      </w:pPr>
      <w:r>
        <w:drawing>
          <wp:inline distT="0" distB="0" distL="114300" distR="114300">
            <wp:extent cx="4826000" cy="2743200"/>
            <wp:effectExtent l="4445" t="4445" r="15875" b="10795"/>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before="113" w:line="600" w:lineRule="exact"/>
        <w:ind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20" w:name="_Toc1175641081"/>
      <w:r>
        <w:rPr>
          <w:rFonts w:hint="default" w:ascii="Times New Roman" w:hAnsi="Times New Roman" w:eastAsia="方正黑体_GBK" w:cs="Times New Roman"/>
          <w:color w:val="auto"/>
          <w:spacing w:val="7"/>
          <w:sz w:val="32"/>
          <w:szCs w:val="32"/>
          <w:highlight w:val="none"/>
        </w:rPr>
        <w:t>五、一般公共预算财政拨款支出决算情况说明</w:t>
      </w:r>
      <w:bookmarkEnd w:id="20"/>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eastAsia="zh-CN"/>
        </w:rPr>
        <w:t>按照党中央、国务院关于党政机关习惯过紧日子的有关要求，</w:t>
      </w:r>
      <w:r>
        <w:rPr>
          <w:rFonts w:hint="eastAsia" w:ascii="Times New Roman" w:hAnsi="Times New Roman" w:eastAsia="方正仿宋_GBK" w:cs="Times New Roman"/>
          <w:color w:val="auto"/>
          <w:spacing w:val="11"/>
          <w:sz w:val="32"/>
          <w:szCs w:val="32"/>
          <w:highlight w:val="none"/>
          <w:lang w:val="en-US" w:eastAsia="zh-CN"/>
        </w:rPr>
        <w:t>安仁县消防救援大</w:t>
      </w:r>
      <w:r>
        <w:rPr>
          <w:rFonts w:hint="eastAsia" w:ascii="Times New Roman" w:hAnsi="Times New Roman" w:eastAsia="方正仿宋_GBK" w:cs="Times New Roman"/>
          <w:color w:val="auto"/>
          <w:spacing w:val="11"/>
          <w:sz w:val="32"/>
          <w:szCs w:val="32"/>
          <w:highlight w:val="none"/>
          <w:lang w:eastAsia="zh-CN"/>
        </w:rPr>
        <w:t>队厉行节约办一切事业，严控一般性支出，同时坚持有保有压，优化支出结构，合理保障消防救援队伍</w:t>
      </w:r>
      <w:r>
        <w:rPr>
          <w:rFonts w:hint="eastAsia" w:ascii="Times New Roman" w:hAnsi="Times New Roman" w:eastAsia="方正仿宋_GBK" w:cs="Times New Roman"/>
          <w:color w:val="auto"/>
          <w:spacing w:val="11"/>
          <w:sz w:val="32"/>
          <w:szCs w:val="32"/>
          <w:highlight w:val="none"/>
          <w:lang w:val="en-US" w:eastAsia="zh-CN"/>
        </w:rPr>
        <w:t>项目伙食</w:t>
      </w:r>
      <w:r>
        <w:rPr>
          <w:rFonts w:hint="eastAsia" w:ascii="Times New Roman" w:hAnsi="Times New Roman" w:eastAsia="方正仿宋_GBK" w:cs="Times New Roman"/>
          <w:color w:val="auto"/>
          <w:spacing w:val="11"/>
          <w:sz w:val="32"/>
          <w:szCs w:val="32"/>
          <w:highlight w:val="none"/>
          <w:lang w:eastAsia="zh-CN"/>
        </w:rPr>
        <w:t>、日常运转等</w:t>
      </w:r>
      <w:r>
        <w:rPr>
          <w:rFonts w:hint="eastAsia" w:ascii="Times New Roman" w:hAnsi="Times New Roman" w:eastAsia="方正仿宋_GBK" w:cs="Times New Roman"/>
          <w:color w:val="auto"/>
          <w:spacing w:val="11"/>
          <w:sz w:val="32"/>
          <w:szCs w:val="32"/>
          <w:highlight w:val="none"/>
          <w:lang w:val="en-US" w:eastAsia="zh-CN"/>
        </w:rPr>
        <w:t>重点支出，持续提高资金使用效益，体现在有关支出科目中。</w:t>
      </w:r>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84" w:firstLineChars="200"/>
        <w:jc w:val="both"/>
        <w:textAlignment w:val="baseline"/>
        <w:rPr>
          <w:rFonts w:hint="default" w:ascii="Times New Roman" w:hAnsi="Times New Roman" w:eastAsia="宋体" w:cs="Times New Roman"/>
          <w:color w:val="auto"/>
          <w:spacing w:val="11"/>
          <w:sz w:val="32"/>
          <w:szCs w:val="32"/>
          <w:highlight w:val="none"/>
          <w:lang w:val="en-US" w:eastAsia="zh-CN"/>
        </w:rPr>
      </w:pPr>
      <w:r>
        <w:rPr>
          <w:rFonts w:hint="eastAsia" w:ascii="Times New Roman" w:hAnsi="Times New Roman" w:eastAsia="方正仿宋_GBK" w:cs="Times New Roman"/>
          <w:color w:val="auto"/>
          <w:spacing w:val="11"/>
          <w:sz w:val="32"/>
          <w:szCs w:val="32"/>
          <w:highlight w:val="none"/>
          <w:lang w:val="en-US" w:eastAsia="zh-CN"/>
        </w:rPr>
        <w:t>按照支出功能分类，项级科目2240204 消防应急救援支出规模较大，2025年度决算数为34.28</w:t>
      </w:r>
      <w:r>
        <w:rPr>
          <w:rFonts w:hint="default" w:ascii="Times New Roman" w:hAnsi="Times New Roman" w:eastAsia="方正仿宋_GBK" w:cs="Times New Roman"/>
          <w:color w:val="auto"/>
          <w:spacing w:val="11"/>
          <w:sz w:val="32"/>
          <w:szCs w:val="32"/>
          <w:highlight w:val="none"/>
          <w:lang w:val="en-US" w:eastAsia="zh-CN"/>
        </w:rPr>
        <w:t>万</w:t>
      </w:r>
      <w:r>
        <w:rPr>
          <w:rFonts w:hint="default" w:ascii="Times New Roman" w:hAnsi="Times New Roman" w:eastAsia="方正仿宋_GBK" w:cs="Times New Roman"/>
          <w:color w:val="auto"/>
          <w:spacing w:val="2"/>
          <w:sz w:val="32"/>
          <w:szCs w:val="32"/>
          <w:highlight w:val="none"/>
        </w:rPr>
        <w:t>元，占</w:t>
      </w:r>
      <w:r>
        <w:rPr>
          <w:rFonts w:hint="eastAsia" w:ascii="Times New Roman" w:hAnsi="Times New Roman" w:eastAsia="方正仿宋_GBK" w:cs="Times New Roman"/>
          <w:color w:val="auto"/>
          <w:spacing w:val="2"/>
          <w:sz w:val="32"/>
          <w:szCs w:val="32"/>
          <w:highlight w:val="none"/>
          <w:lang w:val="en-US" w:eastAsia="zh-CN"/>
        </w:rPr>
        <w:t>68.86</w:t>
      </w:r>
      <w:r>
        <w:rPr>
          <w:rFonts w:hint="default" w:ascii="Times New Roman" w:hAnsi="Times New Roman" w:eastAsia="Times New Roman" w:cs="Times New Roman"/>
          <w:color w:val="auto"/>
          <w:spacing w:val="2"/>
          <w:sz w:val="32"/>
          <w:szCs w:val="32"/>
          <w:highlight w:val="none"/>
        </w:rPr>
        <w:t>%</w:t>
      </w:r>
      <w:r>
        <w:rPr>
          <w:rFonts w:hint="eastAsia" w:ascii="Times New Roman" w:hAnsi="Times New Roman" w:eastAsia="宋体" w:cs="Times New Roman"/>
          <w:color w:val="auto"/>
          <w:spacing w:val="2"/>
          <w:sz w:val="32"/>
          <w:szCs w:val="32"/>
          <w:highlight w:val="none"/>
          <w:lang w:eastAsia="zh-CN"/>
        </w:rPr>
        <w:t>，</w:t>
      </w:r>
      <w:r>
        <w:rPr>
          <w:rFonts w:hint="eastAsia" w:ascii="Times New Roman" w:hAnsi="Times New Roman" w:eastAsia="方正仿宋_GBK" w:cs="Times New Roman"/>
          <w:color w:val="auto"/>
          <w:spacing w:val="11"/>
          <w:sz w:val="32"/>
          <w:szCs w:val="32"/>
          <w:highlight w:val="none"/>
          <w:lang w:val="en-US" w:eastAsia="zh-CN"/>
        </w:rPr>
        <w:t>主要用于保障国家队消防救援人员伙食费支出，比2024年度减少2.3万元，降低6.29%，主要原因是</w:t>
      </w:r>
      <w:r>
        <w:rPr>
          <w:rFonts w:hint="default" w:ascii="Times New Roman" w:hAnsi="Times New Roman" w:eastAsia="方正仿宋_GBK" w:cs="Times New Roman"/>
          <w:color w:val="auto"/>
          <w:spacing w:val="11"/>
          <w:sz w:val="32"/>
          <w:szCs w:val="32"/>
          <w:highlight w:val="none"/>
          <w:lang w:eastAsia="zh-CN"/>
        </w:rPr>
        <w:t>我单位</w:t>
      </w:r>
      <w:r>
        <w:rPr>
          <w:rFonts w:hint="eastAsia" w:ascii="Times New Roman" w:hAnsi="Times New Roman" w:eastAsia="方正仿宋_GBK" w:cs="Times New Roman"/>
          <w:color w:val="auto"/>
          <w:spacing w:val="11"/>
          <w:sz w:val="32"/>
          <w:szCs w:val="32"/>
          <w:highlight w:val="none"/>
          <w:lang w:val="en-US" w:eastAsia="zh-CN"/>
        </w:rPr>
        <w:t>本年度国家队退出2人，虽编制人数增加但实有人数减少。</w:t>
      </w:r>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00" w:lineRule="exact"/>
        <w:ind w:firstLine="672" w:firstLineChars="200"/>
        <w:jc w:val="both"/>
        <w:textAlignment w:val="baseline"/>
        <w:rPr>
          <w:rFonts w:hint="default" w:ascii="Times New Roman" w:hAnsi="Times New Roman" w:eastAsia="方正仿宋_GBK" w:cs="Times New Roman"/>
          <w:color w:val="auto"/>
          <w:spacing w:val="11"/>
          <w:sz w:val="32"/>
          <w:szCs w:val="32"/>
          <w:highlight w:val="none"/>
          <w:lang w:val="en-US" w:eastAsia="zh-CN"/>
        </w:rPr>
      </w:pPr>
      <w:bookmarkStart w:id="21" w:name="_Toc929730174"/>
      <w:r>
        <w:rPr>
          <w:rFonts w:hint="default" w:ascii="Times New Roman" w:hAnsi="Times New Roman" w:eastAsia="方正楷体_GBK" w:cs="Times New Roman"/>
          <w:b w:val="0"/>
          <w:bCs w:val="0"/>
          <w:color w:val="auto"/>
          <w:spacing w:val="8"/>
          <w:sz w:val="32"/>
          <w:szCs w:val="32"/>
          <w:highlight w:val="none"/>
        </w:rPr>
        <w:t>（</w:t>
      </w:r>
      <w:r>
        <w:rPr>
          <w:rFonts w:hint="default" w:ascii="Times New Roman" w:hAnsi="Times New Roman" w:eastAsia="方正仿宋_GBK" w:cs="Times New Roman"/>
          <w:color w:val="auto"/>
          <w:spacing w:val="11"/>
          <w:sz w:val="32"/>
          <w:szCs w:val="32"/>
          <w:highlight w:val="none"/>
          <w:lang w:val="en-US" w:eastAsia="zh-CN"/>
        </w:rPr>
        <w:t>一）一般公共预算财政拨款支出决算总体情况</w:t>
      </w:r>
      <w:bookmarkEnd w:id="21"/>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360" w:lineRule="auto"/>
        <w:ind w:firstLine="684" w:firstLineChars="200"/>
        <w:jc w:val="both"/>
        <w:textAlignment w:val="baseline"/>
        <w:rPr>
          <w:rFonts w:hint="eastAsia"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方正仿宋_GBK" w:cs="Times New Roman"/>
          <w:color w:val="auto"/>
          <w:spacing w:val="11"/>
          <w:sz w:val="32"/>
          <w:szCs w:val="32"/>
          <w:highlight w:val="none"/>
          <w:lang w:val="en-US" w:eastAsia="zh-CN"/>
        </w:rPr>
        <w:t>2025年度一般公共预算财政拨款支出49.78万元，占本年支出合计的3</w:t>
      </w:r>
      <w:r>
        <w:rPr>
          <w:rFonts w:hint="eastAsia" w:ascii="Times New Roman" w:hAnsi="Times New Roman" w:eastAsia="方正仿宋_GBK" w:cs="Times New Roman"/>
          <w:color w:val="auto"/>
          <w:spacing w:val="11"/>
          <w:sz w:val="32"/>
          <w:szCs w:val="32"/>
          <w:highlight w:val="none"/>
          <w:lang w:val="en-US" w:eastAsia="zh-CN"/>
        </w:rPr>
        <w:t>.78</w:t>
      </w:r>
      <w:r>
        <w:rPr>
          <w:rFonts w:hint="default" w:ascii="Times New Roman" w:hAnsi="Times New Roman" w:eastAsia="方正仿宋_GBK" w:cs="Times New Roman"/>
          <w:color w:val="auto"/>
          <w:spacing w:val="11"/>
          <w:sz w:val="32"/>
          <w:szCs w:val="32"/>
          <w:highlight w:val="none"/>
          <w:lang w:val="en-US" w:eastAsia="zh-CN"/>
        </w:rPr>
        <w:t>%，与2024年度相比，财政拨款支出</w:t>
      </w:r>
      <w:r>
        <w:rPr>
          <w:rFonts w:hint="eastAsia" w:ascii="Times New Roman" w:hAnsi="Times New Roman" w:eastAsia="方正仿宋_GBK" w:cs="Times New Roman"/>
          <w:color w:val="auto"/>
          <w:spacing w:val="11"/>
          <w:sz w:val="32"/>
          <w:szCs w:val="32"/>
          <w:highlight w:val="none"/>
          <w:lang w:val="en-US" w:eastAsia="zh-CN"/>
        </w:rPr>
        <w:t>增加0.6</w:t>
      </w:r>
      <w:r>
        <w:rPr>
          <w:rFonts w:hint="default" w:ascii="Times New Roman" w:hAnsi="Times New Roman" w:eastAsia="方正仿宋_GBK" w:cs="Times New Roman"/>
          <w:color w:val="auto"/>
          <w:spacing w:val="11"/>
          <w:sz w:val="32"/>
          <w:szCs w:val="32"/>
          <w:highlight w:val="none"/>
          <w:lang w:val="en-US" w:eastAsia="zh-CN"/>
        </w:rPr>
        <w:t>万元，</w:t>
      </w:r>
      <w:r>
        <w:rPr>
          <w:rFonts w:hint="eastAsia" w:ascii="Times New Roman" w:hAnsi="Times New Roman" w:eastAsia="方正仿宋_GBK" w:cs="Times New Roman"/>
          <w:color w:val="auto"/>
          <w:spacing w:val="11"/>
          <w:sz w:val="32"/>
          <w:szCs w:val="32"/>
          <w:highlight w:val="none"/>
          <w:lang w:val="en-US" w:eastAsia="zh-CN"/>
        </w:rPr>
        <w:t>增长1.22</w:t>
      </w:r>
      <w:r>
        <w:rPr>
          <w:rFonts w:hint="default" w:ascii="Times New Roman" w:hAnsi="Times New Roman" w:eastAsia="方正仿宋_GBK" w:cs="Times New Roman"/>
          <w:color w:val="auto"/>
          <w:spacing w:val="11"/>
          <w:sz w:val="32"/>
          <w:szCs w:val="32"/>
          <w:highlight w:val="none"/>
          <w:lang w:val="en-US" w:eastAsia="zh-CN"/>
        </w:rPr>
        <w:t>%，主要原因</w:t>
      </w:r>
      <w:r>
        <w:rPr>
          <w:rFonts w:hint="eastAsia" w:ascii="Times New Roman" w:hAnsi="Times New Roman" w:eastAsia="方正仿宋_GBK" w:cs="Times New Roman"/>
          <w:color w:val="auto"/>
          <w:spacing w:val="11"/>
          <w:sz w:val="32"/>
          <w:szCs w:val="32"/>
          <w:highlight w:val="none"/>
          <w:lang w:val="en-US" w:eastAsia="zh-CN"/>
        </w:rPr>
        <w:t>是本年度行政编制人数增加，一下控制数公用经费项目增加。</w:t>
      </w:r>
    </w:p>
    <w:p>
      <w:pPr>
        <w:pStyle w:val="2"/>
        <w:rPr>
          <w:rFonts w:hint="eastAsia"/>
          <w:lang w:val="en-US" w:eastAsia="zh-CN"/>
        </w:rPr>
      </w:pPr>
    </w:p>
    <w:p>
      <w:pPr>
        <w:pStyle w:val="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lang w:val="en-US" w:eastAsia="zh-CN"/>
        </w:rPr>
      </w:pPr>
      <w:r>
        <w:drawing>
          <wp:inline distT="0" distB="0" distL="114300" distR="114300">
            <wp:extent cx="4826000" cy="2743200"/>
            <wp:effectExtent l="4445" t="4445" r="15875" b="10795"/>
            <wp:docPr id="2"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spacing w:line="309" w:lineRule="auto"/>
        <w:outlineLvl w:val="9"/>
        <w:rPr>
          <w:rFonts w:hint="default" w:ascii="Times New Roman" w:hAnsi="Times New Roman" w:eastAsia="方正仿宋_GBK" w:cs="Times New Roman"/>
          <w:color w:val="auto"/>
          <w:sz w:val="31"/>
          <w:szCs w:val="31"/>
          <w:highlight w:val="none"/>
        </w:rPr>
      </w:pPr>
    </w:p>
    <w:p>
      <w:pPr>
        <w:pStyle w:val="2"/>
        <w:rPr>
          <w:rFonts w:hint="default" w:ascii="Times New Roman" w:hAnsi="Times New Roman" w:eastAsia="方正仿宋_GBK" w:cs="Times New Roman"/>
          <w:color w:val="auto"/>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00" w:lineRule="exact"/>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2" w:name="bookmark44"/>
      <w:bookmarkEnd w:id="22"/>
      <w:bookmarkStart w:id="23" w:name="_Toc1222100889"/>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336" w:firstLineChars="100"/>
        <w:textAlignment w:val="baseline"/>
        <w:outlineLvl w:val="9"/>
        <w:rPr>
          <w:rFonts w:hint="default" w:ascii="Times New Roman" w:hAnsi="Times New Roman" w:eastAsia="方正楷体_GBK" w:cs="Times New Roman"/>
          <w:b w:val="0"/>
          <w:bCs w:val="0"/>
          <w:color w:val="auto"/>
          <w:spacing w:val="8"/>
          <w:sz w:val="32"/>
          <w:szCs w:val="32"/>
          <w:highlight w:val="none"/>
        </w:rPr>
      </w:pPr>
      <w:r>
        <w:rPr>
          <w:rFonts w:hint="default" w:ascii="Times New Roman" w:hAnsi="Times New Roman" w:eastAsia="方正楷体_GBK" w:cs="Times New Roman"/>
          <w:b w:val="0"/>
          <w:bCs w:val="0"/>
          <w:color w:val="auto"/>
          <w:spacing w:val="8"/>
          <w:sz w:val="32"/>
          <w:szCs w:val="32"/>
          <w:highlight w:val="none"/>
        </w:rPr>
        <w:t>（二）一般公共预算财政拨款支出决算结构情况</w:t>
      </w:r>
      <w:bookmarkEnd w:id="23"/>
    </w:p>
    <w:p>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rPr>
      </w:pPr>
      <w:r>
        <w:rPr>
          <w:rFonts w:hint="default" w:ascii="Times New Roman" w:hAnsi="Times New Roman" w:eastAsia="方正仿宋_GBK" w:cs="Times New Roman"/>
          <w:color w:val="auto"/>
          <w:spacing w:val="11"/>
          <w:sz w:val="32"/>
          <w:szCs w:val="32"/>
          <w:highlight w:val="none"/>
        </w:rPr>
        <w:t>202</w:t>
      </w:r>
      <w:r>
        <w:rPr>
          <w:rFonts w:hint="default" w:ascii="Times New Roman" w:hAnsi="Times New Roman" w:eastAsia="方正仿宋_GBK"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w:t>
      </w:r>
      <w:r>
        <w:rPr>
          <w:rFonts w:hint="eastAsia" w:ascii="Times New Roman" w:hAnsi="Times New Roman" w:eastAsia="方正仿宋_GBK" w:cs="Times New Roman"/>
          <w:color w:val="auto"/>
          <w:spacing w:val="11"/>
          <w:sz w:val="32"/>
          <w:szCs w:val="32"/>
          <w:highlight w:val="none"/>
          <w:lang w:val="en-US" w:eastAsia="zh-CN"/>
        </w:rPr>
        <w:t>49.78</w:t>
      </w:r>
      <w:r>
        <w:rPr>
          <w:rFonts w:hint="default" w:ascii="Times New Roman" w:hAnsi="Times New Roman" w:eastAsia="方正仿宋_GBK" w:cs="Times New Roman"/>
          <w:color w:val="auto"/>
          <w:spacing w:val="11"/>
          <w:sz w:val="32"/>
          <w:szCs w:val="32"/>
          <w:highlight w:val="none"/>
        </w:rPr>
        <w:t>万元，主要用于以下方面：灾害防治及应急管理支出</w:t>
      </w:r>
      <w:r>
        <w:rPr>
          <w:rFonts w:hint="eastAsia" w:ascii="Times New Roman" w:hAnsi="Times New Roman" w:eastAsia="方正仿宋_GBK" w:cs="Times New Roman"/>
          <w:color w:val="auto"/>
          <w:spacing w:val="11"/>
          <w:sz w:val="32"/>
          <w:szCs w:val="32"/>
          <w:highlight w:val="none"/>
          <w:lang w:val="en-US" w:eastAsia="zh-CN"/>
        </w:rPr>
        <w:t>49.78</w:t>
      </w:r>
      <w:r>
        <w:rPr>
          <w:rFonts w:hint="default" w:ascii="Times New Roman" w:hAnsi="Times New Roman" w:eastAsia="方正仿宋_GBK" w:cs="Times New Roman"/>
          <w:color w:val="auto"/>
          <w:spacing w:val="11"/>
          <w:sz w:val="32"/>
          <w:szCs w:val="32"/>
          <w:highlight w:val="none"/>
        </w:rPr>
        <w:t>万元，占</w:t>
      </w:r>
      <w:r>
        <w:rPr>
          <w:rFonts w:hint="eastAsia" w:ascii="Times New Roman" w:hAnsi="Times New Roman" w:eastAsia="方正仿宋_GBK" w:cs="Times New Roman"/>
          <w:color w:val="auto"/>
          <w:spacing w:val="11"/>
          <w:sz w:val="32"/>
          <w:szCs w:val="32"/>
          <w:highlight w:val="none"/>
          <w:lang w:val="en-US" w:eastAsia="zh-CN"/>
        </w:rPr>
        <w:t>100</w:t>
      </w:r>
      <w:r>
        <w:rPr>
          <w:rFonts w:hint="default" w:ascii="Times New Roman" w:hAnsi="Times New Roman" w:eastAsia="方正仿宋_GBK" w:cs="Times New Roman"/>
          <w:color w:val="auto"/>
          <w:spacing w:val="11"/>
          <w:sz w:val="32"/>
          <w:szCs w:val="32"/>
          <w:highlight w:val="none"/>
        </w:rPr>
        <w:t>%。</w:t>
      </w:r>
      <w:bookmarkStart w:id="24" w:name="bookmark45"/>
      <w:bookmarkEnd w:id="24"/>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5" w:name="_Toc518925140"/>
      <w:r>
        <w:rPr>
          <w:rFonts w:hint="default" w:ascii="Times New Roman" w:hAnsi="Times New Roman" w:eastAsia="方正楷体_GBK" w:cs="Times New Roman"/>
          <w:b w:val="0"/>
          <w:bCs w:val="0"/>
          <w:color w:val="auto"/>
          <w:spacing w:val="8"/>
          <w:sz w:val="32"/>
          <w:szCs w:val="32"/>
          <w:highlight w:val="none"/>
        </w:rPr>
        <w:t>（三）一般公共预算财政拨款支出决算具体情况</w:t>
      </w:r>
      <w:bookmarkEnd w:id="25"/>
    </w:p>
    <w:p>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29"/>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11"/>
          <w:sz w:val="32"/>
          <w:szCs w:val="32"/>
          <w:highlight w:val="none"/>
        </w:rPr>
        <w:t>202</w:t>
      </w:r>
      <w:r>
        <w:rPr>
          <w:rFonts w:hint="default" w:ascii="Times New Roman" w:hAnsi="Times New Roman" w:eastAsia="宋体" w:cs="Times New Roman"/>
          <w:color w:val="auto"/>
          <w:spacing w:val="-11"/>
          <w:sz w:val="32"/>
          <w:szCs w:val="32"/>
          <w:highlight w:val="none"/>
          <w:lang w:val="en-US" w:eastAsia="zh-CN"/>
        </w:rPr>
        <w:t>5</w:t>
      </w:r>
      <w:r>
        <w:rPr>
          <w:rFonts w:hint="default" w:ascii="Times New Roman" w:hAnsi="Times New Roman" w:eastAsia="方正仿宋_GBK" w:cs="Times New Roman"/>
          <w:color w:val="auto"/>
          <w:spacing w:val="-11"/>
          <w:sz w:val="32"/>
          <w:szCs w:val="32"/>
          <w:highlight w:val="none"/>
        </w:rPr>
        <w:t>年度一般公共预算财政拨款支出年初预算为</w:t>
      </w:r>
      <w:r>
        <w:rPr>
          <w:rFonts w:hint="eastAsia" w:ascii="Times New Roman" w:hAnsi="Times New Roman" w:eastAsia="方正仿宋_GBK" w:cs="Times New Roman"/>
          <w:color w:val="auto"/>
          <w:spacing w:val="11"/>
          <w:sz w:val="32"/>
          <w:szCs w:val="32"/>
          <w:highlight w:val="none"/>
          <w:lang w:val="en-US" w:eastAsia="zh-CN"/>
        </w:rPr>
        <w:t>49.78</w:t>
      </w:r>
      <w:r>
        <w:rPr>
          <w:rFonts w:hint="default" w:ascii="Times New Roman" w:hAnsi="Times New Roman" w:eastAsia="方正仿宋_GBK" w:cs="Times New Roman"/>
          <w:color w:val="auto"/>
          <w:spacing w:val="7"/>
          <w:sz w:val="32"/>
          <w:szCs w:val="32"/>
          <w:highlight w:val="none"/>
        </w:rPr>
        <w:t>万元，支出决算为</w:t>
      </w:r>
      <w:r>
        <w:rPr>
          <w:rFonts w:hint="eastAsia" w:ascii="Times New Roman" w:hAnsi="Times New Roman" w:eastAsia="方正仿宋_GBK" w:cs="Times New Roman"/>
          <w:color w:val="auto"/>
          <w:spacing w:val="11"/>
          <w:sz w:val="32"/>
          <w:szCs w:val="32"/>
          <w:highlight w:val="none"/>
          <w:lang w:val="en-US" w:eastAsia="zh-CN"/>
        </w:rPr>
        <w:t>49.78</w:t>
      </w:r>
      <w:r>
        <w:rPr>
          <w:rFonts w:hint="default" w:ascii="Times New Roman" w:hAnsi="Times New Roman" w:eastAsia="方正仿宋_GBK" w:cs="Times New Roman"/>
          <w:color w:val="auto"/>
          <w:spacing w:val="7"/>
          <w:sz w:val="32"/>
          <w:szCs w:val="32"/>
          <w:highlight w:val="none"/>
        </w:rPr>
        <w:t>万元，完成年初预算</w:t>
      </w:r>
      <w:r>
        <w:rPr>
          <w:rFonts w:hint="default" w:ascii="Times New Roman" w:hAnsi="Times New Roman" w:eastAsia="方正仿宋_GBK" w:cs="Times New Roman"/>
          <w:color w:val="auto"/>
          <w:spacing w:val="-3"/>
          <w:sz w:val="32"/>
          <w:szCs w:val="32"/>
          <w:highlight w:val="none"/>
        </w:rPr>
        <w:t>的</w:t>
      </w:r>
      <w:r>
        <w:rPr>
          <w:rFonts w:hint="eastAsia" w:ascii="Times New Roman" w:hAnsi="Times New Roman" w:eastAsia="方正仿宋_GBK" w:cs="Times New Roman"/>
          <w:color w:val="auto"/>
          <w:spacing w:val="-3"/>
          <w:sz w:val="32"/>
          <w:szCs w:val="32"/>
          <w:highlight w:val="none"/>
          <w:lang w:val="en-US" w:eastAsia="zh-CN"/>
        </w:rPr>
        <w:t>100</w:t>
      </w:r>
      <w:r>
        <w:rPr>
          <w:rFonts w:hint="default" w:ascii="Times New Roman" w:hAnsi="Times New Roman" w:eastAsia="宋体" w:cs="Times New Roman"/>
          <w:color w:val="auto"/>
          <w:spacing w:val="-3"/>
          <w:sz w:val="32"/>
          <w:szCs w:val="32"/>
          <w:highlight w:val="none"/>
          <w:lang w:val="en-US" w:eastAsia="zh-CN"/>
        </w:rPr>
        <w:t>%</w:t>
      </w:r>
      <w:r>
        <w:rPr>
          <w:rFonts w:hint="default" w:ascii="Times New Roman" w:hAnsi="Times New Roman" w:eastAsia="方正仿宋_GBK" w:cs="Times New Roman"/>
          <w:color w:val="auto"/>
          <w:spacing w:val="-3"/>
          <w:sz w:val="32"/>
          <w:szCs w:val="32"/>
          <w:highlight w:val="none"/>
        </w:rPr>
        <w:t>。其中：</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 w:line="600" w:lineRule="exact"/>
        <w:ind w:firstLine="672" w:firstLineChars="200"/>
        <w:jc w:val="both"/>
        <w:textAlignment w:val="baseline"/>
        <w:rPr>
          <w:rFonts w:hint="default" w:ascii="Times New Roman" w:hAnsi="Times New Roman" w:eastAsia="方正仿宋_GBK" w:cs="Times New Roman"/>
          <w:color w:val="auto"/>
          <w:spacing w:val="8"/>
          <w:sz w:val="32"/>
          <w:szCs w:val="32"/>
          <w:highlight w:val="none"/>
          <w:lang w:eastAsia="zh-CN"/>
        </w:rPr>
      </w:pPr>
      <w:r>
        <w:rPr>
          <w:rFonts w:hint="default" w:ascii="Times New Roman" w:hAnsi="Times New Roman" w:eastAsia="方正仿宋_GBK" w:cs="Times New Roman"/>
          <w:snapToGrid w:val="0"/>
          <w:color w:val="auto"/>
          <w:spacing w:val="8"/>
          <w:kern w:val="0"/>
          <w:sz w:val="32"/>
          <w:szCs w:val="32"/>
          <w:lang w:val="en-US" w:eastAsia="zh-CN" w:bidi="ar-SA"/>
        </w:rPr>
        <w:t>1.</w:t>
      </w:r>
      <w:r>
        <w:rPr>
          <w:rFonts w:hint="default" w:ascii="Times New Roman" w:hAnsi="Times New Roman" w:eastAsia="方正仿宋_GBK" w:cs="Times New Roman"/>
          <w:b/>
          <w:bCs/>
          <w:color w:val="auto"/>
          <w:spacing w:val="6"/>
          <w:sz w:val="32"/>
          <w:szCs w:val="32"/>
          <w:highlight w:val="none"/>
        </w:rPr>
        <w:t>社会保障和就业支出（类）行政事业单位养老支出（款）</w:t>
      </w:r>
      <w:r>
        <w:rPr>
          <w:rFonts w:hint="default" w:ascii="Times New Roman" w:hAnsi="Times New Roman" w:eastAsia="方正仿宋_GBK" w:cs="Times New Roman"/>
          <w:b/>
          <w:bCs/>
          <w:color w:val="auto"/>
          <w:spacing w:val="33"/>
          <w:sz w:val="32"/>
          <w:szCs w:val="32"/>
          <w:highlight w:val="none"/>
        </w:rPr>
        <w:t>机关事业单位基本养老保险缴费支出（项）</w:t>
      </w:r>
      <w:r>
        <w:rPr>
          <w:rFonts w:hint="eastAsia" w:ascii="Times New Roman" w:hAnsi="Times New Roman" w:eastAsia="方正仿宋_GBK" w:cs="Times New Roman"/>
          <w:color w:val="auto"/>
          <w:spacing w:val="33"/>
          <w:sz w:val="32"/>
          <w:szCs w:val="32"/>
          <w:highlight w:val="none"/>
          <w:lang w:eastAsia="zh-CN"/>
        </w:rPr>
        <w:t>。</w:t>
      </w:r>
      <w:r>
        <w:rPr>
          <w:rFonts w:hint="default" w:ascii="Times New Roman" w:hAnsi="Times New Roman" w:eastAsia="方正仿宋_GBK" w:cs="Times New Roman"/>
          <w:color w:val="auto"/>
          <w:spacing w:val="33"/>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 w:line="600" w:lineRule="exact"/>
        <w:ind w:firstLine="648" w:firstLineChars="200"/>
        <w:jc w:val="both"/>
        <w:textAlignment w:val="baseline"/>
        <w:rPr>
          <w:rFonts w:hint="default" w:ascii="Times New Roman" w:hAnsi="Times New Roman" w:eastAsia="方正仿宋_GBK" w:cs="Times New Roman"/>
          <w:color w:val="auto"/>
          <w:spacing w:val="8"/>
          <w:sz w:val="32"/>
          <w:szCs w:val="32"/>
          <w:highlight w:val="yellow"/>
          <w:lang w:eastAsia="zh-CN"/>
        </w:rPr>
      </w:pPr>
      <w:r>
        <w:rPr>
          <w:rFonts w:hint="eastAsia" w:ascii="Times New Roman" w:hAnsi="Times New Roman" w:eastAsia="方正仿宋_GBK" w:cs="Times New Roman"/>
          <w:color w:val="auto"/>
          <w:spacing w:val="2"/>
          <w:sz w:val="32"/>
          <w:szCs w:val="32"/>
          <w:highlight w:val="none"/>
          <w:lang w:val="en-US" w:eastAsia="zh-CN"/>
        </w:rPr>
        <w:t>2</w:t>
      </w:r>
      <w:r>
        <w:rPr>
          <w:rFonts w:hint="default" w:ascii="Times New Roman" w:hAnsi="Times New Roman" w:eastAsia="Times New Roman" w:cs="Times New Roman"/>
          <w:color w:val="auto"/>
          <w:spacing w:val="7"/>
          <w:sz w:val="32"/>
          <w:szCs w:val="32"/>
          <w:highlight w:val="none"/>
        </w:rPr>
        <w:t>.</w:t>
      </w:r>
      <w:r>
        <w:rPr>
          <w:rFonts w:hint="default" w:ascii="Times New Roman" w:hAnsi="Times New Roman" w:eastAsia="方正仿宋_GBK" w:cs="Times New Roman"/>
          <w:b/>
          <w:bCs/>
          <w:color w:val="auto"/>
          <w:spacing w:val="7"/>
          <w:sz w:val="32"/>
          <w:szCs w:val="32"/>
          <w:highlight w:val="none"/>
        </w:rPr>
        <w:t>社会保障和就业支出（类）行政事业单位养老支出（款）</w:t>
      </w:r>
      <w:r>
        <w:rPr>
          <w:rFonts w:hint="default" w:ascii="Times New Roman" w:hAnsi="Times New Roman" w:eastAsia="方正仿宋_GBK" w:cs="Times New Roman"/>
          <w:b/>
          <w:bCs/>
          <w:color w:val="auto"/>
          <w:spacing w:val="10"/>
          <w:sz w:val="32"/>
          <w:szCs w:val="32"/>
          <w:highlight w:val="none"/>
        </w:rPr>
        <w:t>机关事业单位职业年金缴费支出（项）</w:t>
      </w:r>
      <w:r>
        <w:rPr>
          <w:rFonts w:hint="default" w:ascii="Times New Roman" w:hAnsi="Times New Roman" w:eastAsia="方正仿宋_GBK" w:cs="Times New Roman"/>
          <w:color w:val="auto"/>
          <w:spacing w:val="10"/>
          <w:sz w:val="32"/>
          <w:szCs w:val="32"/>
          <w:highlight w:val="none"/>
        </w:rPr>
        <w:t>。年初预算为</w:t>
      </w:r>
      <w:r>
        <w:rPr>
          <w:rFonts w:hint="eastAsia" w:ascii="Times New Roman" w:hAnsi="Times New Roman" w:eastAsia="方正仿宋_GBK" w:cs="Times New Roman"/>
          <w:color w:val="auto"/>
          <w:spacing w:val="10"/>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rPr>
        <w:t>万元，支出决算为</w:t>
      </w:r>
      <w:r>
        <w:rPr>
          <w:rFonts w:hint="eastAsia" w:ascii="Times New Roman" w:hAnsi="Times New Roman" w:eastAsia="宋体"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rPr>
        <w:t>万元</w:t>
      </w:r>
      <w:r>
        <w:rPr>
          <w:rFonts w:hint="default" w:ascii="Times New Roman" w:hAnsi="Times New Roman" w:eastAsia="方正仿宋_GBK" w:cs="Times New Roman"/>
          <w:color w:val="auto"/>
          <w:spacing w:val="8"/>
          <w:sz w:val="32"/>
          <w:szCs w:val="32"/>
          <w:highlight w:val="none"/>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 w:line="600" w:lineRule="exact"/>
        <w:ind w:firstLine="656" w:firstLineChars="200"/>
        <w:jc w:val="both"/>
        <w:textAlignment w:val="baseline"/>
        <w:rPr>
          <w:rFonts w:hint="default" w:ascii="Times New Roman" w:hAnsi="Times New Roman" w:eastAsia="方正仿宋_GBK" w:cs="Times New Roman"/>
          <w:color w:val="auto"/>
          <w:sz w:val="32"/>
          <w:szCs w:val="32"/>
          <w:highlight w:val="yellow"/>
        </w:rPr>
      </w:pPr>
      <w:r>
        <w:rPr>
          <w:rFonts w:hint="default" w:ascii="Times New Roman" w:hAnsi="Times New Roman" w:eastAsia="Times New Roman" w:cs="Times New Roman"/>
          <w:color w:val="auto"/>
          <w:spacing w:val="4"/>
          <w:sz w:val="32"/>
          <w:szCs w:val="32"/>
          <w:highlight w:val="none"/>
        </w:rPr>
        <w:t>3.</w:t>
      </w:r>
      <w:r>
        <w:rPr>
          <w:rFonts w:hint="default" w:ascii="Times New Roman" w:hAnsi="Times New Roman" w:eastAsia="方正仿宋_GBK" w:cs="Times New Roman"/>
          <w:b/>
          <w:bCs/>
          <w:color w:val="auto"/>
          <w:spacing w:val="4"/>
          <w:sz w:val="32"/>
          <w:szCs w:val="32"/>
          <w:highlight w:val="none"/>
        </w:rPr>
        <w:t>卫生健康支出（类）行政事业单位医疗（款）行政单位医</w:t>
      </w:r>
      <w:r>
        <w:rPr>
          <w:rFonts w:hint="default" w:ascii="Times New Roman" w:hAnsi="Times New Roman" w:eastAsia="方正仿宋_GBK" w:cs="Times New Roman"/>
          <w:b/>
          <w:bCs/>
          <w:color w:val="auto"/>
          <w:spacing w:val="8"/>
          <w:sz w:val="32"/>
          <w:szCs w:val="32"/>
          <w:highlight w:val="none"/>
        </w:rPr>
        <w:t>疗（项）。</w:t>
      </w:r>
      <w:r>
        <w:rPr>
          <w:rFonts w:hint="default" w:ascii="Times New Roman" w:hAnsi="Times New Roman" w:eastAsia="方正仿宋_GBK" w:cs="Times New Roman"/>
          <w:color w:val="auto"/>
          <w:spacing w:val="8"/>
          <w:sz w:val="32"/>
          <w:szCs w:val="32"/>
          <w:highlight w:val="none"/>
        </w:rPr>
        <w:t>年初预算为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rPr>
        <w:t>万元，支出决算</w:t>
      </w:r>
      <w:r>
        <w:rPr>
          <w:rFonts w:hint="default" w:ascii="Times New Roman" w:hAnsi="Times New Roman" w:eastAsia="方正仿宋_GBK" w:cs="Times New Roman"/>
          <w:color w:val="auto"/>
          <w:spacing w:val="8"/>
          <w:sz w:val="32"/>
          <w:szCs w:val="32"/>
          <w:highlight w:val="none"/>
          <w:lang w:eastAsia="zh-CN"/>
        </w:rPr>
        <w:t>为</w:t>
      </w:r>
      <w:r>
        <w:rPr>
          <w:rFonts w:hint="eastAsia" w:ascii="Times New Roman" w:hAnsi="Times New Roman" w:eastAsia="宋体"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9"/>
          <w:sz w:val="32"/>
          <w:szCs w:val="32"/>
          <w:highlight w:val="none"/>
        </w:rPr>
        <w:t>万元</w:t>
      </w:r>
      <w:r>
        <w:rPr>
          <w:rFonts w:hint="default" w:ascii="Times New Roman" w:hAnsi="Times New Roman" w:eastAsia="方正仿宋_GBK" w:cs="Times New Roman"/>
          <w:color w:val="auto"/>
          <w:spacing w:val="8"/>
          <w:sz w:val="32"/>
          <w:szCs w:val="32"/>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5"/>
          <w:sz w:val="32"/>
          <w:szCs w:val="32"/>
          <w:highlight w:val="none"/>
        </w:rPr>
        <w:t>4.</w:t>
      </w:r>
      <w:r>
        <w:rPr>
          <w:rFonts w:hint="default" w:ascii="Times New Roman" w:hAnsi="Times New Roman" w:eastAsia="方正仿宋_GBK" w:cs="Times New Roman"/>
          <w:b/>
          <w:bCs/>
          <w:color w:val="auto"/>
          <w:spacing w:val="5"/>
          <w:sz w:val="32"/>
          <w:szCs w:val="32"/>
          <w:highlight w:val="none"/>
        </w:rPr>
        <w:t>卫生健康支出（类）行政事业单位医疗（款）其</w:t>
      </w:r>
      <w:r>
        <w:rPr>
          <w:rFonts w:hint="default" w:ascii="Times New Roman" w:hAnsi="Times New Roman" w:eastAsia="方正仿宋_GBK" w:cs="Times New Roman"/>
          <w:b/>
          <w:bCs/>
          <w:color w:val="auto"/>
          <w:spacing w:val="4"/>
          <w:sz w:val="32"/>
          <w:szCs w:val="32"/>
          <w:highlight w:val="none"/>
        </w:rPr>
        <w:t>他行政事</w:t>
      </w:r>
      <w:r>
        <w:rPr>
          <w:rFonts w:hint="default" w:ascii="Times New Roman" w:hAnsi="Times New Roman" w:eastAsia="方正仿宋_GBK" w:cs="Times New Roman"/>
          <w:b/>
          <w:bCs/>
          <w:color w:val="auto"/>
          <w:spacing w:val="12"/>
          <w:sz w:val="32"/>
          <w:szCs w:val="32"/>
          <w:highlight w:val="none"/>
        </w:rPr>
        <w:t>业单位医疗支出（项）。</w:t>
      </w:r>
      <w:r>
        <w:rPr>
          <w:rFonts w:hint="default" w:ascii="Times New Roman" w:hAnsi="Times New Roman" w:eastAsia="方正仿宋_GBK" w:cs="Times New Roman"/>
          <w:color w:val="auto"/>
          <w:spacing w:val="12"/>
          <w:sz w:val="32"/>
          <w:szCs w:val="32"/>
          <w:highlight w:val="none"/>
        </w:rPr>
        <w:t>年初预算为</w:t>
      </w:r>
      <w:r>
        <w:rPr>
          <w:rFonts w:hint="eastAsia" w:ascii="Times New Roman" w:hAnsi="Times New Roman" w:eastAsia="方正仿宋_GBK" w:cs="Times New Roman"/>
          <w:color w:val="auto"/>
          <w:spacing w:val="12"/>
          <w:sz w:val="32"/>
          <w:szCs w:val="32"/>
          <w:highlight w:val="none"/>
          <w:lang w:val="en-US" w:eastAsia="zh-CN"/>
        </w:rPr>
        <w:t>0</w:t>
      </w:r>
      <w:r>
        <w:rPr>
          <w:rFonts w:hint="default" w:ascii="Times New Roman" w:hAnsi="Times New Roman" w:eastAsia="方正仿宋_GBK" w:cs="Times New Roman"/>
          <w:color w:val="auto"/>
          <w:spacing w:val="12"/>
          <w:sz w:val="32"/>
          <w:szCs w:val="32"/>
          <w:highlight w:val="none"/>
        </w:rPr>
        <w:t>万元，支出决算为</w:t>
      </w:r>
      <w:r>
        <w:rPr>
          <w:rFonts w:hint="eastAsia" w:ascii="Times New Roman" w:hAnsi="Times New Roman" w:eastAsia="宋体"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588" w:firstLineChars="200"/>
        <w:jc w:val="both"/>
        <w:textAlignment w:val="baseline"/>
        <w:rPr>
          <w:rFonts w:hint="eastAsia" w:ascii="Times New Roman" w:hAnsi="Times New Roman" w:eastAsia="方正仿宋_GBK" w:cs="Times New Roman"/>
          <w:color w:val="auto"/>
          <w:spacing w:val="4"/>
          <w:sz w:val="32"/>
          <w:szCs w:val="32"/>
          <w:highlight w:val="none"/>
          <w:lang w:val="en-US" w:eastAsia="zh-CN"/>
        </w:rPr>
      </w:pPr>
      <w:r>
        <w:rPr>
          <w:rFonts w:hint="default" w:ascii="Times New Roman" w:hAnsi="Times New Roman" w:eastAsia="Times New Roman" w:cs="Times New Roman"/>
          <w:color w:val="auto"/>
          <w:spacing w:val="-13"/>
          <w:sz w:val="32"/>
          <w:szCs w:val="32"/>
          <w:highlight w:val="none"/>
        </w:rPr>
        <w:t>5.</w:t>
      </w:r>
      <w:r>
        <w:rPr>
          <w:rFonts w:hint="default" w:ascii="Times New Roman" w:hAnsi="Times New Roman" w:eastAsia="方正仿宋_GBK" w:cs="Times New Roman"/>
          <w:b/>
          <w:bCs/>
          <w:color w:val="auto"/>
          <w:spacing w:val="-13"/>
          <w:sz w:val="32"/>
          <w:szCs w:val="32"/>
          <w:highlight w:val="none"/>
        </w:rPr>
        <w:t>住房保障支出（类）住房改革支出（款）住房公积金</w:t>
      </w:r>
      <w:r>
        <w:rPr>
          <w:rFonts w:hint="default" w:ascii="Times New Roman" w:hAnsi="Times New Roman" w:eastAsia="方正仿宋_GBK" w:cs="Times New Roman"/>
          <w:b/>
          <w:bCs/>
          <w:color w:val="auto"/>
          <w:spacing w:val="-14"/>
          <w:sz w:val="32"/>
          <w:szCs w:val="32"/>
          <w:highlight w:val="none"/>
        </w:rPr>
        <w:t>（项）。</w:t>
      </w:r>
      <w:r>
        <w:rPr>
          <w:rFonts w:hint="default" w:ascii="Times New Roman" w:hAnsi="Times New Roman" w:eastAsia="方正仿宋_GBK" w:cs="Times New Roman"/>
          <w:color w:val="auto"/>
          <w:spacing w:val="6"/>
          <w:sz w:val="32"/>
          <w:szCs w:val="32"/>
          <w:highlight w:val="none"/>
        </w:rPr>
        <w:t>年初预算为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万元，支出决算为</w:t>
      </w:r>
      <w:r>
        <w:rPr>
          <w:rFonts w:hint="eastAsia" w:ascii="Times New Roman" w:hAnsi="Times New Roman" w:eastAsia="宋体" w:cs="Times New Roman"/>
          <w:color w:val="auto"/>
          <w:spacing w:val="6"/>
          <w:sz w:val="32"/>
          <w:szCs w:val="32"/>
          <w:highlight w:val="none"/>
          <w:lang w:val="en-US" w:eastAsia="zh-CN"/>
        </w:rPr>
        <w:t>0</w:t>
      </w:r>
      <w:r>
        <w:rPr>
          <w:rFonts w:hint="default" w:ascii="Times New Roman" w:hAnsi="Times New Roman" w:eastAsia="方正仿宋_GBK" w:cs="Times New Roman"/>
          <w:color w:val="auto"/>
          <w:spacing w:val="6"/>
          <w:sz w:val="32"/>
          <w:szCs w:val="32"/>
          <w:highlight w:val="none"/>
        </w:rPr>
        <w:t>万元</w:t>
      </w:r>
      <w:r>
        <w:rPr>
          <w:rFonts w:hint="eastAsia" w:ascii="Times New Roman" w:hAnsi="Times New Roman" w:eastAsia="方正仿宋_GBK" w:cs="Times New Roman"/>
          <w:color w:val="auto"/>
          <w:spacing w:val="6"/>
          <w:sz w:val="32"/>
          <w:szCs w:val="32"/>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36" w:firstLineChars="200"/>
        <w:jc w:val="both"/>
        <w:textAlignment w:val="baseline"/>
        <w:rPr>
          <w:rFonts w:hint="default" w:ascii="Times New Roman" w:hAnsi="Times New Roman" w:eastAsia="方正仿宋_GBK" w:cs="Times New Roman"/>
          <w:color w:val="auto"/>
          <w:spacing w:val="6"/>
          <w:sz w:val="32"/>
          <w:szCs w:val="32"/>
          <w:highlight w:val="none"/>
        </w:rPr>
      </w:pPr>
      <w:r>
        <w:rPr>
          <w:rFonts w:hint="eastAsia" w:ascii="Times New Roman" w:hAnsi="Times New Roman" w:eastAsia="宋体" w:cs="Times New Roman"/>
          <w:color w:val="auto"/>
          <w:spacing w:val="-1"/>
          <w:sz w:val="32"/>
          <w:szCs w:val="32"/>
          <w:highlight w:val="none"/>
          <w:lang w:val="en-US" w:eastAsia="zh-CN"/>
        </w:rPr>
        <w:t>6</w:t>
      </w:r>
      <w:r>
        <w:rPr>
          <w:rFonts w:hint="default" w:ascii="Times New Roman" w:hAnsi="Times New Roman" w:eastAsia="Times New Roman" w:cs="Times New Roman"/>
          <w:color w:val="auto"/>
          <w:spacing w:val="-1"/>
          <w:sz w:val="32"/>
          <w:szCs w:val="32"/>
          <w:highlight w:val="none"/>
        </w:rPr>
        <w:t>.</w:t>
      </w:r>
      <w:r>
        <w:rPr>
          <w:rFonts w:hint="default" w:ascii="Times New Roman" w:hAnsi="Times New Roman" w:eastAsia="方正仿宋_GBK" w:cs="Times New Roman"/>
          <w:b/>
          <w:bCs/>
          <w:color w:val="auto"/>
          <w:spacing w:val="-1"/>
          <w:sz w:val="32"/>
          <w:szCs w:val="32"/>
          <w:highlight w:val="none"/>
        </w:rPr>
        <w:t>灾害防治及应急管理支出（类）消防救援事务（款）行政</w:t>
      </w:r>
      <w:r>
        <w:rPr>
          <w:rFonts w:hint="default" w:ascii="Times New Roman" w:hAnsi="Times New Roman" w:eastAsia="方正仿宋_GBK" w:cs="Times New Roman"/>
          <w:b/>
          <w:bCs/>
          <w:color w:val="auto"/>
          <w:spacing w:val="-4"/>
          <w:sz w:val="32"/>
          <w:szCs w:val="32"/>
          <w:highlight w:val="none"/>
        </w:rPr>
        <w:t>运行（项）。</w:t>
      </w:r>
      <w:r>
        <w:rPr>
          <w:rFonts w:hint="default" w:ascii="Times New Roman" w:hAnsi="Times New Roman" w:eastAsia="方正仿宋_GBK" w:cs="Times New Roman"/>
          <w:color w:val="auto"/>
          <w:spacing w:val="-4"/>
          <w:sz w:val="32"/>
          <w:szCs w:val="32"/>
          <w:highlight w:val="none"/>
        </w:rPr>
        <w:t>年初预算为</w:t>
      </w:r>
      <w:r>
        <w:rPr>
          <w:rFonts w:hint="eastAsia" w:ascii="Times New Roman" w:hAnsi="Times New Roman" w:eastAsia="方正仿宋_GBK" w:cs="Times New Roman"/>
          <w:color w:val="auto"/>
          <w:spacing w:val="-4"/>
          <w:sz w:val="32"/>
          <w:szCs w:val="32"/>
          <w:highlight w:val="none"/>
          <w:lang w:val="en-US" w:eastAsia="zh-CN"/>
        </w:rPr>
        <w:t>15.5</w:t>
      </w:r>
      <w:r>
        <w:rPr>
          <w:rFonts w:hint="default" w:ascii="Times New Roman" w:hAnsi="Times New Roman" w:eastAsia="方正仿宋_GBK" w:cs="Times New Roman"/>
          <w:color w:val="auto"/>
          <w:spacing w:val="-4"/>
          <w:sz w:val="32"/>
          <w:szCs w:val="32"/>
          <w:highlight w:val="none"/>
        </w:rPr>
        <w:t>万元，支出决算为</w:t>
      </w:r>
      <w:r>
        <w:rPr>
          <w:rFonts w:hint="eastAsia" w:ascii="Times New Roman" w:hAnsi="Times New Roman" w:eastAsia="宋体" w:cs="Times New Roman"/>
          <w:color w:val="auto"/>
          <w:spacing w:val="-5"/>
          <w:sz w:val="32"/>
          <w:szCs w:val="32"/>
          <w:highlight w:val="none"/>
          <w:lang w:val="en-US" w:eastAsia="zh-CN"/>
        </w:rPr>
        <w:t>15.5</w:t>
      </w:r>
      <w:r>
        <w:rPr>
          <w:rFonts w:hint="default" w:ascii="Times New Roman" w:hAnsi="Times New Roman" w:eastAsia="方正仿宋_GBK" w:cs="Times New Roman"/>
          <w:color w:val="auto"/>
          <w:spacing w:val="4"/>
          <w:sz w:val="32"/>
          <w:szCs w:val="32"/>
          <w:highlight w:val="none"/>
        </w:rPr>
        <w:t>万元，完成年初预算的</w:t>
      </w:r>
      <w:r>
        <w:rPr>
          <w:rFonts w:hint="eastAsia" w:ascii="Times New Roman" w:hAnsi="Times New Roman" w:eastAsia="方正仿宋_GBK" w:cs="Times New Roman"/>
          <w:color w:val="auto"/>
          <w:spacing w:val="4"/>
          <w:sz w:val="32"/>
          <w:szCs w:val="32"/>
          <w:highlight w:val="none"/>
          <w:lang w:val="en-US" w:eastAsia="zh-CN"/>
        </w:rPr>
        <w:t>100</w:t>
      </w:r>
      <w:r>
        <w:rPr>
          <w:rFonts w:hint="default" w:ascii="Times New Roman" w:hAnsi="Times New Roman" w:eastAsia="Times New Roman" w:cs="Times New Roman"/>
          <w:color w:val="auto"/>
          <w:spacing w:val="4"/>
          <w:sz w:val="32"/>
          <w:szCs w:val="32"/>
          <w:highlight w:val="none"/>
        </w:rPr>
        <w:t>%</w:t>
      </w:r>
      <w:r>
        <w:rPr>
          <w:rFonts w:hint="default" w:ascii="Times New Roman" w:hAnsi="Times New Roman" w:eastAsia="方正仿宋_GBK" w:cs="Times New Roman"/>
          <w:color w:val="auto"/>
          <w:spacing w:val="4"/>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76" w:firstLineChars="200"/>
        <w:jc w:val="both"/>
        <w:textAlignment w:val="baseline"/>
        <w:rPr>
          <w:rFonts w:hint="default" w:ascii="Times New Roman" w:hAnsi="Times New Roman" w:eastAsia="方正仿宋_GBK" w:cs="Times New Roman"/>
          <w:b w:val="0"/>
          <w:bCs w:val="0"/>
          <w:color w:val="auto"/>
          <w:spacing w:val="6"/>
          <w:sz w:val="32"/>
          <w:szCs w:val="32"/>
          <w:highlight w:val="none"/>
          <w:lang w:val="en-US" w:eastAsia="zh-CN"/>
        </w:rPr>
      </w:pPr>
      <w:r>
        <w:rPr>
          <w:rFonts w:hint="eastAsia" w:ascii="Times New Roman" w:hAnsi="Times New Roman" w:eastAsia="宋体" w:cs="Times New Roman"/>
          <w:color w:val="auto"/>
          <w:spacing w:val="9"/>
          <w:sz w:val="32"/>
          <w:szCs w:val="32"/>
          <w:highlight w:val="none"/>
          <w:lang w:val="en-US" w:eastAsia="zh-CN"/>
        </w:rPr>
        <w:t>7</w:t>
      </w:r>
      <w:r>
        <w:rPr>
          <w:rFonts w:hint="default" w:ascii="Times New Roman" w:hAnsi="Times New Roman" w:eastAsia="Times New Roman" w:cs="Times New Roman"/>
          <w:color w:val="auto"/>
          <w:spacing w:val="9"/>
          <w:sz w:val="32"/>
          <w:szCs w:val="32"/>
          <w:highlight w:val="none"/>
        </w:rPr>
        <w:t>.</w:t>
      </w:r>
      <w:r>
        <w:rPr>
          <w:rFonts w:hint="default" w:ascii="Times New Roman" w:hAnsi="Times New Roman" w:eastAsia="方正仿宋_GBK" w:cs="Times New Roman"/>
          <w:b/>
          <w:bCs/>
          <w:color w:val="auto"/>
          <w:spacing w:val="9"/>
          <w:sz w:val="32"/>
          <w:szCs w:val="32"/>
          <w:highlight w:val="none"/>
        </w:rPr>
        <w:t>灾害防治及应急管理支出（类）消防救援事务（款）消</w:t>
      </w:r>
      <w:r>
        <w:rPr>
          <w:rFonts w:hint="default" w:ascii="Times New Roman" w:hAnsi="Times New Roman" w:eastAsia="方正仿宋_GBK" w:cs="Times New Roman"/>
          <w:b/>
          <w:bCs/>
          <w:color w:val="auto"/>
          <w:spacing w:val="12"/>
          <w:sz w:val="32"/>
          <w:szCs w:val="32"/>
          <w:highlight w:val="none"/>
        </w:rPr>
        <w:t>防</w:t>
      </w:r>
      <w:r>
        <w:rPr>
          <w:rFonts w:hint="default" w:ascii="Times New Roman" w:hAnsi="Times New Roman" w:eastAsia="方正仿宋_GBK" w:cs="Times New Roman"/>
          <w:b/>
          <w:bCs/>
          <w:color w:val="auto"/>
          <w:spacing w:val="12"/>
          <w:sz w:val="32"/>
          <w:szCs w:val="32"/>
          <w:highlight w:val="none"/>
          <w:lang w:val="en-US" w:eastAsia="zh-CN"/>
        </w:rPr>
        <w:t>应急救援</w:t>
      </w:r>
      <w:r>
        <w:rPr>
          <w:rFonts w:hint="default" w:ascii="Times New Roman" w:hAnsi="Times New Roman" w:eastAsia="方正仿宋_GBK" w:cs="Times New Roman"/>
          <w:b/>
          <w:bCs/>
          <w:color w:val="auto"/>
          <w:spacing w:val="12"/>
          <w:sz w:val="32"/>
          <w:szCs w:val="32"/>
          <w:highlight w:val="none"/>
        </w:rPr>
        <w:t>（项）。</w:t>
      </w:r>
      <w:r>
        <w:rPr>
          <w:rFonts w:hint="default" w:ascii="Times New Roman" w:hAnsi="Times New Roman" w:eastAsia="方正仿宋_GBK" w:cs="Times New Roman"/>
          <w:b w:val="0"/>
          <w:bCs w:val="0"/>
          <w:color w:val="auto"/>
          <w:spacing w:val="12"/>
          <w:sz w:val="32"/>
          <w:szCs w:val="32"/>
          <w:highlight w:val="none"/>
          <w:lang w:val="en-US" w:eastAsia="zh-CN"/>
        </w:rPr>
        <w:t>年初预算数为</w:t>
      </w:r>
      <w:r>
        <w:rPr>
          <w:rFonts w:hint="eastAsia" w:ascii="Times New Roman" w:hAnsi="Times New Roman" w:eastAsia="方正仿宋_GBK" w:cs="Times New Roman"/>
          <w:b w:val="0"/>
          <w:bCs w:val="0"/>
          <w:color w:val="auto"/>
          <w:spacing w:val="12"/>
          <w:sz w:val="32"/>
          <w:szCs w:val="32"/>
          <w:highlight w:val="none"/>
          <w:lang w:val="en-US" w:eastAsia="zh-CN"/>
        </w:rPr>
        <w:t>3</w:t>
      </w:r>
      <w:r>
        <w:rPr>
          <w:rFonts w:hint="eastAsia" w:ascii="Times New Roman" w:hAnsi="Times New Roman" w:eastAsia="方正仿宋_GBK" w:cs="Times New Roman"/>
          <w:color w:val="auto"/>
          <w:spacing w:val="12"/>
          <w:sz w:val="32"/>
          <w:szCs w:val="32"/>
          <w:highlight w:val="none"/>
          <w:lang w:val="en-US" w:eastAsia="zh-CN"/>
        </w:rPr>
        <w:t>4.28</w:t>
      </w:r>
      <w:r>
        <w:rPr>
          <w:rFonts w:hint="default" w:ascii="Times New Roman" w:hAnsi="Times New Roman" w:eastAsia="方正仿宋_GBK" w:cs="Times New Roman"/>
          <w:color w:val="auto"/>
          <w:spacing w:val="12"/>
          <w:sz w:val="32"/>
          <w:szCs w:val="32"/>
          <w:highlight w:val="none"/>
          <w:lang w:val="en-US" w:eastAsia="zh-CN"/>
        </w:rPr>
        <w:t>万元，支出决算为</w:t>
      </w:r>
      <w:r>
        <w:rPr>
          <w:rFonts w:hint="eastAsia" w:ascii="Times New Roman" w:hAnsi="Times New Roman" w:eastAsia="方正仿宋_GBK" w:cs="Times New Roman"/>
          <w:color w:val="auto"/>
          <w:spacing w:val="12"/>
          <w:sz w:val="32"/>
          <w:szCs w:val="32"/>
          <w:highlight w:val="none"/>
          <w:lang w:val="en-US" w:eastAsia="zh-CN"/>
        </w:rPr>
        <w:t>34.28</w:t>
      </w:r>
      <w:r>
        <w:rPr>
          <w:rFonts w:hint="default" w:ascii="Times New Roman" w:hAnsi="Times New Roman" w:eastAsia="方正仿宋_GBK" w:cs="Times New Roman"/>
          <w:color w:val="auto"/>
          <w:spacing w:val="12"/>
          <w:sz w:val="32"/>
          <w:szCs w:val="32"/>
          <w:highlight w:val="none"/>
          <w:lang w:val="en-US" w:eastAsia="zh-CN"/>
        </w:rPr>
        <w:t>万元，完成年初预算数的</w:t>
      </w:r>
      <w:r>
        <w:rPr>
          <w:rFonts w:hint="eastAsia" w:ascii="Times New Roman" w:hAnsi="Times New Roman" w:eastAsia="方正仿宋_GBK" w:cs="Times New Roman"/>
          <w:color w:val="auto"/>
          <w:spacing w:val="12"/>
          <w:sz w:val="32"/>
          <w:szCs w:val="32"/>
          <w:highlight w:val="none"/>
          <w:lang w:val="en-US" w:eastAsia="zh-CN"/>
        </w:rPr>
        <w:t>100</w:t>
      </w:r>
      <w:r>
        <w:rPr>
          <w:rFonts w:hint="default" w:ascii="Times New Roman" w:hAnsi="Times New Roman" w:eastAsia="方正仿宋_GBK" w:cs="Times New Roman"/>
          <w:color w:val="auto"/>
          <w:spacing w:val="12"/>
          <w:sz w:val="32"/>
          <w:szCs w:val="32"/>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44"/>
        <w:textAlignment w:val="baseline"/>
        <w:outlineLvl w:val="0"/>
        <w:rPr>
          <w:rFonts w:hint="default" w:ascii="Times New Roman" w:hAnsi="Times New Roman" w:eastAsia="方正黑体_GBK" w:cs="Times New Roman"/>
          <w:color w:val="auto"/>
          <w:sz w:val="32"/>
          <w:szCs w:val="32"/>
          <w:highlight w:val="none"/>
        </w:rPr>
      </w:pPr>
      <w:bookmarkStart w:id="26" w:name="bookmark21"/>
      <w:bookmarkEnd w:id="26"/>
      <w:bookmarkStart w:id="27" w:name="_Toc1951277322"/>
      <w:r>
        <w:rPr>
          <w:rFonts w:hint="default" w:ascii="Times New Roman" w:hAnsi="Times New Roman" w:eastAsia="方正黑体_GBK" w:cs="Times New Roman"/>
          <w:color w:val="auto"/>
          <w:spacing w:val="7"/>
          <w:sz w:val="32"/>
          <w:szCs w:val="32"/>
          <w:highlight w:val="none"/>
        </w:rPr>
        <w:t>六、一般公共预算财政拨款基本支出决算情况说明</w:t>
      </w:r>
      <w:bookmarkEnd w:id="27"/>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6"/>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19"/>
          <w:sz w:val="32"/>
          <w:szCs w:val="32"/>
          <w:highlight w:val="none"/>
        </w:rPr>
        <w:t>202</w:t>
      </w:r>
      <w:r>
        <w:rPr>
          <w:rFonts w:hint="default" w:ascii="Times New Roman" w:hAnsi="Times New Roman" w:eastAsia="宋体" w:cs="Times New Roman"/>
          <w:color w:val="auto"/>
          <w:spacing w:val="19"/>
          <w:sz w:val="32"/>
          <w:szCs w:val="32"/>
          <w:highlight w:val="none"/>
          <w:lang w:val="en-US" w:eastAsia="zh-CN"/>
        </w:rPr>
        <w:t>5</w:t>
      </w:r>
      <w:r>
        <w:rPr>
          <w:rFonts w:hint="default" w:ascii="Times New Roman" w:hAnsi="Times New Roman" w:eastAsia="方正仿宋_GBK" w:cs="Times New Roman"/>
          <w:color w:val="auto"/>
          <w:spacing w:val="19"/>
          <w:sz w:val="32"/>
          <w:szCs w:val="32"/>
          <w:highlight w:val="none"/>
        </w:rPr>
        <w:t>年度一般公共预算财政拨款</w:t>
      </w:r>
      <w:r>
        <w:rPr>
          <w:rFonts w:hint="default" w:ascii="Times New Roman" w:hAnsi="Times New Roman" w:eastAsia="方正仿宋_GBK" w:cs="Times New Roman"/>
          <w:color w:val="auto"/>
          <w:spacing w:val="19"/>
          <w:sz w:val="32"/>
          <w:szCs w:val="32"/>
          <w:highlight w:val="none"/>
          <w:lang w:eastAsia="zh-CN"/>
        </w:rPr>
        <w:t>基本支出</w:t>
      </w:r>
      <w:r>
        <w:rPr>
          <w:rFonts w:hint="eastAsia" w:ascii="Times New Roman" w:hAnsi="Times New Roman" w:eastAsia="方正仿宋_GBK" w:cs="Times New Roman"/>
          <w:color w:val="auto"/>
          <w:spacing w:val="19"/>
          <w:sz w:val="32"/>
          <w:szCs w:val="32"/>
          <w:highlight w:val="none"/>
          <w:lang w:val="en-US" w:eastAsia="zh-CN"/>
        </w:rPr>
        <w:t>15.5</w:t>
      </w:r>
      <w:r>
        <w:rPr>
          <w:rFonts w:hint="default" w:ascii="Times New Roman" w:hAnsi="Times New Roman" w:eastAsia="仿宋" w:cs="Times New Roman"/>
          <w:color w:val="auto"/>
          <w:spacing w:val="19"/>
          <w:sz w:val="32"/>
          <w:szCs w:val="32"/>
          <w:highlight w:val="none"/>
        </w:rPr>
        <w:t>万</w:t>
      </w:r>
      <w:r>
        <w:rPr>
          <w:rFonts w:hint="default" w:ascii="Times New Roman" w:hAnsi="Times New Roman" w:eastAsia="方正仿宋_GBK" w:cs="Times New Roman"/>
          <w:color w:val="auto"/>
          <w:spacing w:val="9"/>
          <w:sz w:val="32"/>
          <w:szCs w:val="32"/>
          <w:highlight w:val="none"/>
        </w:rPr>
        <w:t>元，其中：</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720" w:firstLineChars="200"/>
        <w:jc w:val="both"/>
        <w:textAlignment w:val="baseline"/>
        <w:rPr>
          <w:rFonts w:hint="default" w:ascii="Times New Roman" w:hAnsi="Times New Roman" w:eastAsia="方正仿宋_GBK" w:cs="Times New Roman"/>
          <w:color w:val="auto"/>
          <w:spacing w:val="19"/>
          <w:sz w:val="32"/>
          <w:szCs w:val="32"/>
          <w:highlight w:val="none"/>
        </w:rPr>
      </w:pPr>
      <w:r>
        <w:rPr>
          <w:rFonts w:hint="default" w:ascii="Times New Roman" w:hAnsi="Times New Roman" w:eastAsia="方正仿宋_GBK" w:cs="Times New Roman"/>
          <w:color w:val="auto"/>
          <w:spacing w:val="20"/>
          <w:sz w:val="32"/>
          <w:szCs w:val="32"/>
          <w:highlight w:val="none"/>
        </w:rPr>
        <w:t>人员经费</w:t>
      </w:r>
      <w:r>
        <w:rPr>
          <w:rFonts w:hint="eastAsia" w:ascii="Times New Roman" w:hAnsi="Times New Roman" w:eastAsia="宋体" w:cs="Times New Roman"/>
          <w:color w:val="auto"/>
          <w:spacing w:val="20"/>
          <w:sz w:val="32"/>
          <w:szCs w:val="32"/>
          <w:highlight w:val="none"/>
          <w:lang w:val="en-US" w:eastAsia="zh-CN"/>
        </w:rPr>
        <w:t>0</w:t>
      </w:r>
      <w:r>
        <w:rPr>
          <w:rFonts w:hint="default" w:ascii="Times New Roman" w:hAnsi="Times New Roman" w:eastAsia="方正仿宋_GBK" w:cs="Times New Roman"/>
          <w:color w:val="auto"/>
          <w:spacing w:val="20"/>
          <w:sz w:val="32"/>
          <w:szCs w:val="32"/>
          <w:highlight w:val="none"/>
        </w:rPr>
        <w:t>万元，主要包括基本工资、津贴补</w:t>
      </w:r>
      <w:r>
        <w:rPr>
          <w:rFonts w:hint="default" w:ascii="Times New Roman" w:hAnsi="Times New Roman" w:eastAsia="方正仿宋_GBK" w:cs="Times New Roman"/>
          <w:color w:val="auto"/>
          <w:spacing w:val="16"/>
          <w:sz w:val="32"/>
          <w:szCs w:val="32"/>
          <w:highlight w:val="none"/>
        </w:rPr>
        <w:t>贴、奖金、机关事业单位基本养老保险缴费、职</w:t>
      </w:r>
      <w:r>
        <w:rPr>
          <w:rFonts w:hint="default" w:ascii="Times New Roman" w:hAnsi="Times New Roman" w:eastAsia="方正仿宋_GBK" w:cs="Times New Roman"/>
          <w:color w:val="auto"/>
          <w:spacing w:val="19"/>
          <w:sz w:val="32"/>
          <w:szCs w:val="32"/>
          <w:highlight w:val="none"/>
        </w:rPr>
        <w:t>业年金缴费、职工基本医疗保险缴费、公务员医疗补助缴费、</w:t>
      </w:r>
      <w:r>
        <w:rPr>
          <w:rFonts w:hint="default" w:ascii="Times New Roman" w:hAnsi="Times New Roman" w:eastAsia="方正仿宋_GBK" w:cs="Times New Roman"/>
          <w:color w:val="auto"/>
          <w:spacing w:val="9"/>
          <w:sz w:val="32"/>
          <w:szCs w:val="32"/>
          <w:highlight w:val="none"/>
        </w:rPr>
        <w:t>其他社会保障缴费、住房公积金、医疗费、其他工资福利支出、</w:t>
      </w:r>
      <w:r>
        <w:rPr>
          <w:rFonts w:hint="default" w:ascii="Times New Roman" w:hAnsi="Times New Roman" w:eastAsia="方正仿宋_GBK" w:cs="Times New Roman"/>
          <w:color w:val="auto"/>
          <w:spacing w:val="16"/>
          <w:sz w:val="32"/>
          <w:szCs w:val="32"/>
          <w:highlight w:val="none"/>
        </w:rPr>
        <w:t>退休费、退职（役）费、抚恤金、生活补助、</w:t>
      </w:r>
      <w:r>
        <w:rPr>
          <w:rFonts w:hint="default" w:ascii="Times New Roman" w:hAnsi="Times New Roman" w:eastAsia="方正仿宋_GBK" w:cs="Times New Roman"/>
          <w:color w:val="auto"/>
          <w:spacing w:val="19"/>
          <w:sz w:val="32"/>
          <w:szCs w:val="32"/>
          <w:highlight w:val="none"/>
        </w:rPr>
        <w:t>奖励金、其他对个人和家庭的补助。</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704" w:firstLineChars="200"/>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pacing w:val="16"/>
          <w:sz w:val="32"/>
          <w:szCs w:val="32"/>
          <w:highlight w:val="none"/>
        </w:rPr>
        <w:t>公用经费</w:t>
      </w:r>
      <w:r>
        <w:rPr>
          <w:rFonts w:hint="eastAsia" w:ascii="Times New Roman" w:hAnsi="Times New Roman" w:eastAsia="宋体" w:cs="Times New Roman"/>
          <w:color w:val="auto"/>
          <w:spacing w:val="16"/>
          <w:sz w:val="32"/>
          <w:szCs w:val="32"/>
          <w:highlight w:val="none"/>
          <w:lang w:val="en-US" w:eastAsia="zh-CN"/>
        </w:rPr>
        <w:t>15.5</w:t>
      </w:r>
      <w:r>
        <w:rPr>
          <w:rFonts w:hint="default" w:ascii="Times New Roman" w:hAnsi="Times New Roman" w:eastAsia="方正仿宋_GBK" w:cs="Times New Roman"/>
          <w:color w:val="auto"/>
          <w:spacing w:val="16"/>
          <w:sz w:val="32"/>
          <w:szCs w:val="32"/>
          <w:highlight w:val="none"/>
        </w:rPr>
        <w:t>万元，主要包括办公费、印刷费</w:t>
      </w:r>
      <w:r>
        <w:rPr>
          <w:rFonts w:hint="default" w:ascii="Times New Roman" w:hAnsi="Times New Roman" w:eastAsia="方正仿宋_GBK" w:cs="Times New Roman"/>
          <w:color w:val="auto"/>
          <w:spacing w:val="19"/>
          <w:sz w:val="32"/>
          <w:szCs w:val="32"/>
          <w:highlight w:val="none"/>
        </w:rPr>
        <w:t>、水费、电费、邮电费、取暖费、物业管理费、</w:t>
      </w:r>
      <w:r>
        <w:rPr>
          <w:rFonts w:hint="default" w:ascii="Times New Roman" w:hAnsi="Times New Roman" w:eastAsia="方正仿宋_GBK" w:cs="Times New Roman"/>
          <w:color w:val="auto"/>
          <w:spacing w:val="16"/>
          <w:sz w:val="32"/>
          <w:szCs w:val="32"/>
          <w:highlight w:val="none"/>
        </w:rPr>
        <w:t>差旅费、因公出国（境）费用、维修（护）费、租赁费、公务接待费、专用材料费、专用燃料费、劳务费、委托业务费、工会经费、公务用车运行维护费</w:t>
      </w:r>
      <w:r>
        <w:rPr>
          <w:rFonts w:hint="eastAsia" w:ascii="Times New Roman" w:hAnsi="Times New Roman" w:eastAsia="方正仿宋_GBK" w:cs="Times New Roman"/>
          <w:color w:val="auto"/>
          <w:spacing w:val="16"/>
          <w:sz w:val="32"/>
          <w:szCs w:val="32"/>
          <w:highlight w:val="none"/>
          <w:lang w:eastAsia="zh-CN"/>
        </w:rPr>
        <w:t>、</w:t>
      </w:r>
      <w:r>
        <w:rPr>
          <w:rFonts w:hint="default" w:ascii="Times New Roman" w:hAnsi="Times New Roman" w:eastAsia="方正仿宋_GBK" w:cs="Times New Roman"/>
          <w:color w:val="auto"/>
          <w:spacing w:val="16"/>
          <w:sz w:val="32"/>
          <w:szCs w:val="32"/>
          <w:highlight w:val="none"/>
        </w:rPr>
        <w:t>其他商品和服务支出</w:t>
      </w:r>
      <w:r>
        <w:rPr>
          <w:rFonts w:hint="default" w:ascii="Times New Roman" w:hAnsi="Times New Roman" w:eastAsia="方正仿宋_GBK" w:cs="Times New Roman"/>
          <w:color w:val="auto"/>
          <w:spacing w:val="16"/>
          <w:sz w:val="32"/>
          <w:szCs w:val="32"/>
          <w:highlight w:val="none"/>
          <w:lang w:eastAsia="zh-CN"/>
        </w:rPr>
        <w:t>、</w:t>
      </w:r>
      <w:r>
        <w:rPr>
          <w:rFonts w:hint="default" w:ascii="Times New Roman" w:hAnsi="Times New Roman" w:eastAsia="方正仿宋_GBK" w:cs="Times New Roman"/>
          <w:color w:val="auto"/>
          <w:spacing w:val="16"/>
          <w:sz w:val="32"/>
          <w:szCs w:val="32"/>
          <w:highlight w:val="none"/>
        </w:rPr>
        <w:t>办公设备购置、专用设备购置</w:t>
      </w:r>
      <w:r>
        <w:rPr>
          <w:rFonts w:hint="default" w:ascii="Times New Roman" w:hAnsi="Times New Roman" w:eastAsia="方正仿宋_GBK" w:cs="Times New Roman"/>
          <w:color w:val="auto"/>
          <w:spacing w:val="18"/>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黑体_GBK" w:cs="Times New Roman"/>
          <w:color w:val="auto"/>
          <w:sz w:val="32"/>
          <w:szCs w:val="32"/>
          <w:highlight w:val="none"/>
        </w:rPr>
      </w:pPr>
      <w:bookmarkStart w:id="28" w:name="bookmark22"/>
      <w:bookmarkEnd w:id="28"/>
      <w:bookmarkStart w:id="29" w:name="_Toc660977863"/>
      <w:r>
        <w:rPr>
          <w:rFonts w:hint="default" w:ascii="Times New Roman" w:hAnsi="Times New Roman" w:eastAsia="方正黑体_GBK" w:cs="Times New Roman"/>
          <w:color w:val="auto"/>
          <w:spacing w:val="7"/>
          <w:sz w:val="32"/>
          <w:szCs w:val="32"/>
          <w:highlight w:val="none"/>
        </w:rPr>
        <w:t>七、财政拨款</w:t>
      </w:r>
      <w:r>
        <w:rPr>
          <w:rFonts w:hint="eastAsia" w:ascii="Times New Roman" w:hAnsi="Times New Roman" w:eastAsia="方正黑体_GBK" w:cs="Times New Roman"/>
          <w:color w:val="auto"/>
          <w:spacing w:val="-42"/>
          <w:sz w:val="32"/>
          <w:szCs w:val="32"/>
          <w:highlight w:val="none"/>
          <w:lang w:eastAsia="zh-CN"/>
        </w:rPr>
        <w:t>“</w:t>
      </w:r>
      <w:r>
        <w:rPr>
          <w:rFonts w:hint="default" w:ascii="Times New Roman" w:hAnsi="Times New Roman" w:eastAsia="方正黑体_GBK" w:cs="Times New Roman"/>
          <w:color w:val="auto"/>
          <w:spacing w:val="-42"/>
          <w:sz w:val="32"/>
          <w:szCs w:val="32"/>
          <w:highlight w:val="none"/>
          <w:lang w:eastAsia="zh-CN"/>
        </w:rPr>
        <w:t>三公”经费</w:t>
      </w:r>
      <w:r>
        <w:rPr>
          <w:rFonts w:hint="default" w:ascii="Times New Roman" w:hAnsi="Times New Roman" w:eastAsia="方正黑体_GBK" w:cs="Times New Roman"/>
          <w:color w:val="auto"/>
          <w:spacing w:val="7"/>
          <w:sz w:val="32"/>
          <w:szCs w:val="32"/>
          <w:highlight w:val="none"/>
        </w:rPr>
        <w:t>支出决算情况说明</w:t>
      </w:r>
      <w:bookmarkEnd w:id="29"/>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30" w:name="_Toc615141055"/>
      <w:r>
        <w:rPr>
          <w:rFonts w:hint="default" w:ascii="Times New Roman" w:hAnsi="Times New Roman" w:eastAsia="方正楷体_GBK" w:cs="Times New Roman"/>
          <w:b w:val="0"/>
          <w:bCs w:val="0"/>
          <w:color w:val="auto"/>
          <w:spacing w:val="8"/>
          <w:sz w:val="32"/>
          <w:szCs w:val="32"/>
          <w:highlight w:val="none"/>
        </w:rPr>
        <w:t>（一）财政拨款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经费支出决算总体情况说明</w:t>
      </w:r>
      <w:bookmarkEnd w:id="30"/>
    </w:p>
    <w:p>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outlineLvl w:val="9"/>
        <w:rPr>
          <w:rFonts w:hint="eastAsia" w:ascii="Times New Roman" w:hAnsi="Times New Roman" w:eastAsia="方正仿宋_GBK" w:cs="Times New Roman"/>
          <w:color w:val="auto"/>
          <w:spacing w:val="5"/>
          <w:sz w:val="32"/>
          <w:szCs w:val="32"/>
          <w:highlight w:val="none"/>
          <w:lang w:eastAsia="zh-CN"/>
        </w:rPr>
      </w:pPr>
      <w:r>
        <w:rPr>
          <w:rFonts w:hint="default" w:ascii="Times New Roman" w:hAnsi="Times New Roman" w:eastAsia="方正仿宋_GBK" w:cs="Times New Roman"/>
          <w:color w:val="auto"/>
          <w:spacing w:val="5"/>
          <w:sz w:val="32"/>
          <w:szCs w:val="32"/>
          <w:highlight w:val="none"/>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rPr>
        <w:t>年度财政拨款</w:t>
      </w:r>
      <w:r>
        <w:rPr>
          <w:rFonts w:hint="eastAsia" w:ascii="Times New Roman" w:hAnsi="Times New Roman" w:eastAsia="方正仿宋_GBK" w:cs="Times New Roman"/>
          <w:color w:val="auto"/>
          <w:spacing w:val="5"/>
          <w:sz w:val="32"/>
          <w:szCs w:val="32"/>
          <w:highlight w:val="none"/>
          <w:lang w:eastAsia="zh-CN"/>
        </w:rPr>
        <w:t>“</w:t>
      </w:r>
      <w:r>
        <w:rPr>
          <w:rFonts w:hint="default" w:ascii="Times New Roman" w:hAnsi="Times New Roman" w:eastAsia="方正仿宋_GBK" w:cs="Times New Roman"/>
          <w:color w:val="auto"/>
          <w:spacing w:val="5"/>
          <w:sz w:val="32"/>
          <w:szCs w:val="32"/>
          <w:highlight w:val="none"/>
        </w:rPr>
        <w:t>三公”经费支出预算为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w:t>
      </w:r>
      <w:r>
        <w:rPr>
          <w:rFonts w:hint="default" w:ascii="Times New Roman" w:hAnsi="Times New Roman" w:eastAsia="方正仿宋_GBK" w:cs="Times New Roman"/>
          <w:color w:val="auto"/>
          <w:spacing w:val="7"/>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26"/>
        <w:textAlignment w:val="baseline"/>
        <w:outlineLvl w:val="9"/>
        <w:rPr>
          <w:rFonts w:hint="default" w:ascii="Times New Roman" w:hAnsi="Times New Roman" w:eastAsia="方正楷体_GBK" w:cs="Times New Roman"/>
          <w:b w:val="0"/>
          <w:bCs w:val="0"/>
          <w:color w:val="auto"/>
          <w:sz w:val="32"/>
          <w:szCs w:val="32"/>
          <w:highlight w:val="none"/>
        </w:rPr>
      </w:pPr>
      <w:bookmarkStart w:id="31" w:name="_Toc1467429220"/>
      <w:r>
        <w:rPr>
          <w:rFonts w:hint="default" w:ascii="Times New Roman" w:hAnsi="Times New Roman" w:eastAsia="方正楷体_GBK" w:cs="Times New Roman"/>
          <w:b w:val="0"/>
          <w:bCs w:val="0"/>
          <w:color w:val="auto"/>
          <w:spacing w:val="8"/>
          <w:sz w:val="32"/>
          <w:szCs w:val="32"/>
          <w:highlight w:val="none"/>
        </w:rPr>
        <w:t>（二）财政拨款</w:t>
      </w:r>
      <w:r>
        <w:rPr>
          <w:rFonts w:hint="eastAsia" w:ascii="Times New Roman" w:hAnsi="Times New Roman" w:eastAsia="宋体" w:cs="Times New Roman"/>
          <w:b w:val="0"/>
          <w:bCs w:val="0"/>
          <w:color w:val="auto"/>
          <w:spacing w:val="8"/>
          <w:sz w:val="32"/>
          <w:szCs w:val="32"/>
          <w:highlight w:val="none"/>
          <w:lang w:eastAsia="zh-CN"/>
        </w:rPr>
        <w:t>“</w:t>
      </w:r>
      <w:r>
        <w:rPr>
          <w:rFonts w:hint="default" w:ascii="Times New Roman" w:hAnsi="Times New Roman" w:eastAsia="方正楷体_GBK" w:cs="Times New Roman"/>
          <w:b w:val="0"/>
          <w:bCs w:val="0"/>
          <w:color w:val="auto"/>
          <w:spacing w:val="8"/>
          <w:sz w:val="32"/>
          <w:szCs w:val="32"/>
          <w:highlight w:val="none"/>
        </w:rPr>
        <w:t>三公</w:t>
      </w:r>
      <w:r>
        <w:rPr>
          <w:rFonts w:hint="default" w:ascii="Times New Roman" w:hAnsi="Times New Roman" w:eastAsia="Times New Roman" w:cs="Times New Roman"/>
          <w:b w:val="0"/>
          <w:bCs w:val="0"/>
          <w:color w:val="auto"/>
          <w:spacing w:val="8"/>
          <w:sz w:val="32"/>
          <w:szCs w:val="32"/>
          <w:highlight w:val="none"/>
        </w:rPr>
        <w:t>”</w:t>
      </w:r>
      <w:r>
        <w:rPr>
          <w:rFonts w:hint="default" w:ascii="Times New Roman" w:hAnsi="Times New Roman" w:eastAsia="方正楷体_GBK" w:cs="Times New Roman"/>
          <w:b w:val="0"/>
          <w:bCs w:val="0"/>
          <w:color w:val="auto"/>
          <w:spacing w:val="8"/>
          <w:sz w:val="32"/>
          <w:szCs w:val="32"/>
          <w:highlight w:val="none"/>
        </w:rPr>
        <w:t>经费支出决算具体情况说明</w:t>
      </w:r>
      <w:bookmarkEnd w:id="31"/>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7"/>
          <w:sz w:val="32"/>
          <w:szCs w:val="32"/>
          <w:highlight w:val="none"/>
        </w:rPr>
      </w:pPr>
      <w:r>
        <w:rPr>
          <w:rFonts w:hint="default" w:ascii="Times New Roman" w:hAnsi="Times New Roman" w:eastAsia="方正仿宋_GBK" w:cs="Times New Roman"/>
          <w:color w:val="auto"/>
          <w:spacing w:val="5"/>
          <w:sz w:val="32"/>
          <w:szCs w:val="32"/>
          <w:highlight w:val="none"/>
        </w:rPr>
        <w:t>1.因公出国（境）费预算为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万元，支出决算为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万元；支出决算较202</w:t>
      </w:r>
      <w:r>
        <w:rPr>
          <w:rFonts w:hint="default" w:ascii="Times New Roman" w:hAnsi="Times New Roman" w:eastAsia="方正仿宋_GBK" w:cs="Times New Roman"/>
          <w:color w:val="auto"/>
          <w:spacing w:val="5"/>
          <w:sz w:val="32"/>
          <w:szCs w:val="32"/>
          <w:highlight w:val="none"/>
          <w:lang w:val="en-US" w:eastAsia="zh-CN"/>
        </w:rPr>
        <w:t>4</w:t>
      </w:r>
      <w:r>
        <w:rPr>
          <w:rFonts w:hint="default" w:ascii="Times New Roman" w:hAnsi="Times New Roman" w:eastAsia="方正仿宋_GBK" w:cs="Times New Roman"/>
          <w:color w:val="auto"/>
          <w:spacing w:val="5"/>
          <w:sz w:val="32"/>
          <w:szCs w:val="32"/>
          <w:highlight w:val="none"/>
        </w:rPr>
        <w:t>年度</w:t>
      </w:r>
      <w:r>
        <w:rPr>
          <w:rFonts w:hint="eastAsia" w:ascii="Times New Roman" w:hAnsi="Times New Roman" w:eastAsia="方正仿宋_GBK" w:cs="Times New Roman"/>
          <w:color w:val="auto"/>
          <w:spacing w:val="5"/>
          <w:sz w:val="32"/>
          <w:szCs w:val="32"/>
          <w:highlight w:val="none"/>
          <w:lang w:val="en-US" w:eastAsia="zh-CN"/>
        </w:rPr>
        <w:t>持平</w:t>
      </w:r>
      <w:r>
        <w:rPr>
          <w:rFonts w:hint="default" w:ascii="Times New Roman" w:hAnsi="Times New Roman" w:eastAsia="方正仿宋_GBK" w:cs="Times New Roman"/>
          <w:color w:val="auto"/>
          <w:spacing w:val="5"/>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64" w:firstLineChars="200"/>
        <w:jc w:val="both"/>
        <w:textAlignment w:val="baseline"/>
        <w:rPr>
          <w:rFonts w:hint="default" w:ascii="Times New Roman" w:hAnsi="Times New Roman" w:eastAsia="方正仿宋_GBK" w:cs="Times New Roman"/>
          <w:color w:val="auto"/>
          <w:sz w:val="32"/>
          <w:szCs w:val="32"/>
          <w:highlight w:val="none"/>
        </w:rPr>
      </w:pPr>
      <w:r>
        <w:rPr>
          <w:rFonts w:hint="default" w:ascii="Times New Roman" w:hAnsi="Times New Roman" w:eastAsia="Times New Roman" w:cs="Times New Roman"/>
          <w:color w:val="auto"/>
          <w:spacing w:val="6"/>
          <w:sz w:val="32"/>
          <w:szCs w:val="32"/>
          <w:highlight w:val="none"/>
        </w:rPr>
        <w:t>2.</w:t>
      </w:r>
      <w:r>
        <w:rPr>
          <w:rFonts w:hint="default" w:ascii="Times New Roman" w:hAnsi="Times New Roman" w:eastAsia="方正仿宋_GBK" w:cs="Times New Roman"/>
          <w:color w:val="auto"/>
          <w:spacing w:val="6"/>
          <w:sz w:val="32"/>
          <w:szCs w:val="32"/>
          <w:highlight w:val="none"/>
        </w:rPr>
        <w:t>公务用车购置及运行维护费预算为</w:t>
      </w:r>
      <w:r>
        <w:rPr>
          <w:rFonts w:hint="eastAsia" w:ascii="Times New Roman" w:hAnsi="Times New Roman" w:eastAsia="宋体"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rPr>
        <w:t>万元，支出</w:t>
      </w:r>
      <w:r>
        <w:rPr>
          <w:rFonts w:hint="default" w:ascii="Times New Roman" w:hAnsi="Times New Roman" w:eastAsia="方正仿宋_GBK" w:cs="Times New Roman"/>
          <w:color w:val="auto"/>
          <w:spacing w:val="2"/>
          <w:sz w:val="32"/>
          <w:szCs w:val="32"/>
          <w:highlight w:val="none"/>
        </w:rPr>
        <w:t>决算为</w:t>
      </w:r>
      <w:r>
        <w:rPr>
          <w:rFonts w:hint="eastAsia" w:ascii="Times New Roman" w:hAnsi="Times New Roman" w:eastAsia="方正仿宋_GBK" w:cs="Times New Roman"/>
          <w:color w:val="auto"/>
          <w:spacing w:val="2"/>
          <w:sz w:val="32"/>
          <w:szCs w:val="32"/>
          <w:highlight w:val="none"/>
          <w:lang w:val="en-US" w:eastAsia="zh-CN"/>
        </w:rPr>
        <w:t>0</w:t>
      </w:r>
      <w:r>
        <w:rPr>
          <w:rFonts w:hint="default" w:ascii="Times New Roman" w:hAnsi="Times New Roman" w:eastAsia="方正仿宋_GBK" w:cs="Times New Roman"/>
          <w:color w:val="auto"/>
          <w:spacing w:val="2"/>
          <w:sz w:val="32"/>
          <w:szCs w:val="32"/>
          <w:highlight w:val="none"/>
        </w:rPr>
        <w:t>万元</w:t>
      </w:r>
      <w:r>
        <w:rPr>
          <w:rFonts w:hint="default" w:ascii="Times New Roman" w:hAnsi="Times New Roman" w:eastAsia="方正仿宋_GBK" w:cs="Times New Roman"/>
          <w:color w:val="auto"/>
          <w:spacing w:val="1"/>
          <w:sz w:val="32"/>
          <w:szCs w:val="32"/>
          <w:highlight w:val="none"/>
        </w:rPr>
        <w:t>；支出决算较</w:t>
      </w:r>
      <w:r>
        <w:rPr>
          <w:rFonts w:hint="default" w:ascii="Times New Roman" w:hAnsi="Times New Roman" w:eastAsia="Times New Roman" w:cs="Times New Roman"/>
          <w:color w:val="auto"/>
          <w:spacing w:val="1"/>
          <w:sz w:val="32"/>
          <w:szCs w:val="32"/>
          <w:highlight w:val="none"/>
        </w:rPr>
        <w:t>202</w:t>
      </w:r>
      <w:r>
        <w:rPr>
          <w:rFonts w:hint="default" w:ascii="Times New Roman" w:hAnsi="Times New Roman" w:eastAsia="宋体" w:cs="Times New Roman"/>
          <w:color w:val="auto"/>
          <w:spacing w:val="1"/>
          <w:sz w:val="32"/>
          <w:szCs w:val="32"/>
          <w:highlight w:val="none"/>
          <w:lang w:val="en-US" w:eastAsia="zh-CN"/>
        </w:rPr>
        <w:t>4</w:t>
      </w:r>
      <w:r>
        <w:rPr>
          <w:rFonts w:hint="default" w:ascii="Times New Roman" w:hAnsi="Times New Roman" w:eastAsia="方正仿宋_GBK" w:cs="Times New Roman"/>
          <w:color w:val="auto"/>
          <w:spacing w:val="1"/>
          <w:sz w:val="32"/>
          <w:szCs w:val="32"/>
          <w:highlight w:val="none"/>
        </w:rPr>
        <w:t>年</w:t>
      </w:r>
      <w:r>
        <w:rPr>
          <w:rFonts w:hint="default" w:ascii="Times New Roman" w:hAnsi="Times New Roman" w:eastAsia="方正仿宋_GBK" w:cs="Times New Roman"/>
          <w:color w:val="auto"/>
          <w:spacing w:val="4"/>
          <w:sz w:val="32"/>
          <w:szCs w:val="32"/>
          <w:highlight w:val="none"/>
        </w:rPr>
        <w:t>度</w:t>
      </w:r>
      <w:r>
        <w:rPr>
          <w:rFonts w:hint="eastAsia" w:ascii="Times New Roman" w:hAnsi="Times New Roman" w:eastAsia="方正仿宋_GBK" w:cs="Times New Roman"/>
          <w:color w:val="auto"/>
          <w:spacing w:val="5"/>
          <w:sz w:val="32"/>
          <w:szCs w:val="32"/>
          <w:highlight w:val="none"/>
          <w:lang w:val="en-US" w:eastAsia="zh-CN"/>
        </w:rPr>
        <w:t>持平</w:t>
      </w:r>
      <w:r>
        <w:rPr>
          <w:rFonts w:hint="eastAsia" w:ascii="Times New Roman" w:hAnsi="Times New Roman" w:eastAsia="方正仿宋_GBK" w:cs="Times New Roman"/>
          <w:color w:val="auto"/>
          <w:spacing w:val="5"/>
          <w:sz w:val="32"/>
          <w:szCs w:val="32"/>
          <w:highlight w:val="none"/>
          <w:lang w:eastAsia="zh-CN"/>
        </w:rPr>
        <w:t>。</w:t>
      </w:r>
      <w:r>
        <w:rPr>
          <w:rFonts w:hint="default" w:ascii="Times New Roman" w:hAnsi="Times New Roman" w:eastAsia="方正仿宋_GBK" w:cs="Times New Roman"/>
          <w:color w:val="auto"/>
          <w:spacing w:val="5"/>
          <w:sz w:val="32"/>
          <w:szCs w:val="32"/>
          <w:highlight w:val="none"/>
        </w:rPr>
        <w:t>其中：</w:t>
      </w:r>
    </w:p>
    <w:p>
      <w:pPr>
        <w:keepNext w:val="0"/>
        <w:keepLines w:val="0"/>
        <w:pageBreakBefore w:val="0"/>
        <w:widowControl/>
        <w:kinsoku w:val="0"/>
        <w:wordWrap/>
        <w:overflowPunct/>
        <w:topLinePunct w:val="0"/>
        <w:autoSpaceDE w:val="0"/>
        <w:autoSpaceDN w:val="0"/>
        <w:bidi w:val="0"/>
        <w:adjustRightInd w:val="0"/>
        <w:snapToGrid w:val="0"/>
        <w:spacing w:before="6" w:line="600" w:lineRule="exact"/>
        <w:ind w:left="6" w:right="1" w:firstLine="638"/>
        <w:jc w:val="both"/>
        <w:textAlignment w:val="baseline"/>
        <w:rPr>
          <w:rFonts w:hint="default" w:ascii="Times New Roman" w:hAnsi="Times New Roman" w:eastAsia="方正仿宋_GBK" w:cs="Times New Roman"/>
          <w:color w:val="auto"/>
          <w:spacing w:val="-11"/>
          <w:sz w:val="32"/>
          <w:szCs w:val="32"/>
          <w:highlight w:val="none"/>
          <w:lang w:val="en-US" w:eastAsia="zh-CN"/>
        </w:rPr>
      </w:pPr>
      <w:r>
        <w:rPr>
          <w:rFonts w:hint="default" w:ascii="Times New Roman" w:hAnsi="Times New Roman" w:eastAsia="方正仿宋_GBK" w:cs="Times New Roman"/>
          <w:color w:val="auto"/>
          <w:spacing w:val="5"/>
          <w:sz w:val="32"/>
          <w:szCs w:val="32"/>
          <w:highlight w:val="none"/>
        </w:rPr>
        <w:t>公务用车运行维护费支出</w:t>
      </w:r>
      <w:r>
        <w:rPr>
          <w:rFonts w:hint="eastAsia" w:ascii="Times New Roman" w:hAnsi="Times New Roman" w:eastAsia="方正仿宋_GBK" w:cs="Times New Roman"/>
          <w:color w:val="auto"/>
          <w:spacing w:val="2"/>
          <w:sz w:val="32"/>
          <w:szCs w:val="32"/>
          <w:highlight w:val="none"/>
          <w:lang w:val="en-US" w:eastAsia="zh-CN"/>
        </w:rPr>
        <w:t>0</w:t>
      </w:r>
      <w:r>
        <w:rPr>
          <w:rFonts w:hint="default" w:ascii="Times New Roman" w:hAnsi="Times New Roman" w:eastAsia="方正仿宋_GBK" w:cs="Times New Roman"/>
          <w:color w:val="auto"/>
          <w:spacing w:val="2"/>
          <w:sz w:val="32"/>
          <w:szCs w:val="32"/>
          <w:highlight w:val="none"/>
        </w:rPr>
        <w:t>万元</w:t>
      </w:r>
      <w:r>
        <w:rPr>
          <w:rFonts w:hint="default" w:ascii="Times New Roman" w:hAnsi="Times New Roman" w:eastAsia="方正仿宋_GBK" w:cs="Times New Roman"/>
          <w:color w:val="auto"/>
          <w:spacing w:val="5"/>
          <w:sz w:val="32"/>
          <w:szCs w:val="32"/>
          <w:highlight w:val="none"/>
        </w:rPr>
        <w:t>。主要是按规定支出的公务用车燃料费、维修费、过桥过路费、保险费等经费。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Times New Roman" w:cs="Times New Roman"/>
          <w:color w:val="auto"/>
          <w:spacing w:val="3"/>
          <w:sz w:val="32"/>
          <w:szCs w:val="32"/>
          <w:highlight w:val="none"/>
        </w:rPr>
        <w:t>3.</w:t>
      </w:r>
      <w:r>
        <w:rPr>
          <w:rFonts w:hint="default" w:ascii="Times New Roman" w:hAnsi="Times New Roman" w:eastAsia="方正仿宋_GBK" w:cs="Times New Roman"/>
          <w:color w:val="auto"/>
          <w:spacing w:val="3"/>
          <w:sz w:val="32"/>
          <w:szCs w:val="32"/>
          <w:highlight w:val="none"/>
        </w:rPr>
        <w:t>公务接待费预算</w:t>
      </w:r>
      <w:r>
        <w:rPr>
          <w:rFonts w:hint="default" w:ascii="Times New Roman" w:hAnsi="Times New Roman" w:eastAsia="方正仿宋_GBK" w:cs="Times New Roman"/>
          <w:color w:val="auto"/>
          <w:spacing w:val="8"/>
          <w:sz w:val="32"/>
          <w:szCs w:val="32"/>
          <w:highlight w:val="none"/>
        </w:rPr>
        <w:t>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rPr>
        <w:t>万元，支出决</w:t>
      </w:r>
      <w:r>
        <w:rPr>
          <w:rFonts w:hint="default" w:ascii="Times New Roman" w:hAnsi="Times New Roman" w:eastAsia="方正仿宋_GBK" w:cs="Times New Roman"/>
          <w:color w:val="auto"/>
          <w:spacing w:val="8"/>
          <w:sz w:val="32"/>
          <w:szCs w:val="32"/>
          <w:highlight w:val="none"/>
          <w:lang w:val="en-US" w:eastAsia="zh-CN"/>
        </w:rPr>
        <w:t>算为</w:t>
      </w:r>
      <w:r>
        <w:rPr>
          <w:rFonts w:hint="eastAsia" w:ascii="Times New Roman" w:hAnsi="Times New Roman" w:eastAsia="方正仿宋_GBK" w:cs="Times New Roman"/>
          <w:color w:val="auto"/>
          <w:spacing w:val="8"/>
          <w:sz w:val="32"/>
          <w:szCs w:val="32"/>
          <w:highlight w:val="none"/>
          <w:lang w:val="en-US" w:eastAsia="zh-CN"/>
        </w:rPr>
        <w:t>0</w:t>
      </w:r>
      <w:r>
        <w:rPr>
          <w:rFonts w:hint="default" w:ascii="Times New Roman" w:hAnsi="Times New Roman" w:eastAsia="方正仿宋_GBK" w:cs="Times New Roman"/>
          <w:color w:val="auto"/>
          <w:spacing w:val="8"/>
          <w:sz w:val="32"/>
          <w:szCs w:val="32"/>
          <w:highlight w:val="none"/>
          <w:lang w:val="en-US" w:eastAsia="zh-CN"/>
        </w:rPr>
        <w:t>万元；支出决算较2024年度</w:t>
      </w:r>
      <w:r>
        <w:rPr>
          <w:rFonts w:hint="eastAsia" w:ascii="Times New Roman" w:hAnsi="Times New Roman" w:eastAsia="方正仿宋_GBK" w:cs="Times New Roman"/>
          <w:color w:val="auto"/>
          <w:spacing w:val="8"/>
          <w:sz w:val="32"/>
          <w:szCs w:val="32"/>
          <w:highlight w:val="none"/>
          <w:lang w:val="en-US" w:eastAsia="zh-CN"/>
        </w:rPr>
        <w:t>持平</w:t>
      </w:r>
      <w:r>
        <w:rPr>
          <w:rFonts w:hint="default" w:ascii="Times New Roman" w:hAnsi="Times New Roman" w:eastAsia="方正仿宋_GBK" w:cs="Times New Roman"/>
          <w:color w:val="auto"/>
          <w:spacing w:val="4"/>
          <w:sz w:val="32"/>
          <w:szCs w:val="32"/>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2"/>
          <w:szCs w:val="32"/>
          <w:highlight w:val="none"/>
        </w:rPr>
      </w:pPr>
      <w:bookmarkStart w:id="32" w:name="bookmark23"/>
      <w:bookmarkEnd w:id="32"/>
      <w:bookmarkStart w:id="33" w:name="_Toc286975877"/>
      <w:r>
        <w:rPr>
          <w:rFonts w:hint="default" w:ascii="Times New Roman" w:hAnsi="Times New Roman" w:eastAsia="方正黑体_GBK" w:cs="Times New Roman"/>
          <w:color w:val="auto"/>
          <w:spacing w:val="9"/>
          <w:sz w:val="32"/>
          <w:szCs w:val="32"/>
          <w:highlight w:val="none"/>
        </w:rPr>
        <w:t>八、机关运行经费支出情况说明</w:t>
      </w:r>
      <w:bookmarkEnd w:id="33"/>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eastAsia" w:ascii="Times New Roman" w:hAnsi="Times New Roman" w:eastAsia="方正仿宋_GBK" w:cs="Times New Roman"/>
          <w:color w:val="auto"/>
          <w:spacing w:val="5"/>
          <w:sz w:val="32"/>
          <w:szCs w:val="32"/>
          <w:highlight w:val="yellow"/>
          <w:lang w:eastAsia="zh-CN"/>
        </w:rPr>
      </w:pPr>
      <w:r>
        <w:rPr>
          <w:rFonts w:hint="eastAsia" w:ascii="Times New Roman" w:hAnsi="Times New Roman" w:eastAsia="方正仿宋_GBK" w:cs="Times New Roman"/>
          <w:color w:val="auto"/>
          <w:spacing w:val="5"/>
          <w:sz w:val="32"/>
          <w:szCs w:val="32"/>
          <w:highlight w:val="none"/>
          <w:lang w:val="en-US" w:eastAsia="zh-CN"/>
        </w:rPr>
        <w:t>安仁县</w:t>
      </w:r>
      <w:r>
        <w:rPr>
          <w:rFonts w:hint="eastAsia" w:ascii="Times New Roman" w:hAnsi="Times New Roman" w:eastAsia="方正仿宋_GBK" w:cs="Times New Roman"/>
          <w:color w:val="auto"/>
          <w:spacing w:val="5"/>
          <w:sz w:val="32"/>
          <w:szCs w:val="32"/>
          <w:highlight w:val="none"/>
          <w:lang w:eastAsia="zh-CN"/>
        </w:rPr>
        <w:t>消防救援</w:t>
      </w:r>
      <w:r>
        <w:rPr>
          <w:rFonts w:hint="eastAsia" w:ascii="Times New Roman" w:hAnsi="Times New Roman" w:eastAsia="方正仿宋_GBK" w:cs="Times New Roman"/>
          <w:color w:val="auto"/>
          <w:spacing w:val="5"/>
          <w:sz w:val="32"/>
          <w:szCs w:val="32"/>
          <w:highlight w:val="none"/>
          <w:lang w:val="en-US" w:eastAsia="zh-CN"/>
        </w:rPr>
        <w:t>大</w:t>
      </w:r>
      <w:r>
        <w:rPr>
          <w:rFonts w:hint="eastAsia" w:ascii="Times New Roman" w:hAnsi="Times New Roman" w:eastAsia="方正仿宋_GBK" w:cs="Times New Roman"/>
          <w:color w:val="auto"/>
          <w:spacing w:val="5"/>
          <w:sz w:val="32"/>
          <w:szCs w:val="32"/>
          <w:highlight w:val="none"/>
          <w:lang w:eastAsia="zh-CN"/>
        </w:rPr>
        <w:t>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年度机关运行经费支出</w:t>
      </w:r>
      <w:r>
        <w:rPr>
          <w:rFonts w:hint="eastAsia" w:ascii="Times New Roman" w:hAnsi="Times New Roman" w:eastAsia="方正仿宋_GBK" w:cs="Times New Roman"/>
          <w:color w:val="auto"/>
          <w:spacing w:val="5"/>
          <w:sz w:val="32"/>
          <w:szCs w:val="32"/>
          <w:highlight w:val="none"/>
          <w:lang w:val="en-US" w:eastAsia="zh-CN"/>
        </w:rPr>
        <w:t>15.5</w:t>
      </w:r>
      <w:r>
        <w:rPr>
          <w:rFonts w:hint="default" w:ascii="Times New Roman" w:hAnsi="Times New Roman" w:eastAsia="方正仿宋_GBK" w:cs="Times New Roman"/>
          <w:color w:val="auto"/>
          <w:spacing w:val="5"/>
          <w:sz w:val="32"/>
          <w:szCs w:val="32"/>
          <w:highlight w:val="none"/>
          <w:lang w:eastAsia="zh-CN"/>
        </w:rPr>
        <w:t>万元，较</w:t>
      </w:r>
      <w:r>
        <w:rPr>
          <w:rFonts w:hint="default" w:ascii="Times New Roman" w:hAnsi="Times New Roman" w:eastAsia="方正仿宋_GBK" w:cs="Times New Roman"/>
          <w:color w:val="auto"/>
          <w:spacing w:val="5"/>
          <w:sz w:val="32"/>
          <w:szCs w:val="32"/>
          <w:highlight w:val="none"/>
          <w:lang w:val="en-US" w:eastAsia="zh-CN"/>
        </w:rPr>
        <w:t>2024</w:t>
      </w:r>
      <w:r>
        <w:rPr>
          <w:rFonts w:hint="default" w:ascii="Times New Roman" w:hAnsi="Times New Roman" w:eastAsia="方正仿宋_GBK" w:cs="Times New Roman"/>
          <w:color w:val="auto"/>
          <w:spacing w:val="5"/>
          <w:sz w:val="32"/>
          <w:szCs w:val="32"/>
          <w:highlight w:val="none"/>
          <w:lang w:eastAsia="zh-CN"/>
        </w:rPr>
        <w:t>年度增加</w:t>
      </w:r>
      <w:r>
        <w:rPr>
          <w:rFonts w:hint="eastAsia" w:ascii="Times New Roman" w:hAnsi="Times New Roman" w:eastAsia="方正仿宋_GBK" w:cs="Times New Roman"/>
          <w:color w:val="auto"/>
          <w:spacing w:val="5"/>
          <w:sz w:val="32"/>
          <w:szCs w:val="32"/>
          <w:highlight w:val="none"/>
          <w:lang w:val="en-US" w:eastAsia="zh-CN"/>
        </w:rPr>
        <w:t>2.9</w:t>
      </w:r>
      <w:r>
        <w:rPr>
          <w:rFonts w:hint="default" w:ascii="Times New Roman" w:hAnsi="Times New Roman" w:eastAsia="方正仿宋_GBK" w:cs="Times New Roman"/>
          <w:color w:val="auto"/>
          <w:spacing w:val="5"/>
          <w:sz w:val="32"/>
          <w:szCs w:val="32"/>
          <w:highlight w:val="none"/>
          <w:lang w:eastAsia="zh-CN"/>
        </w:rPr>
        <w:t>万元，增长</w:t>
      </w:r>
      <w:r>
        <w:rPr>
          <w:rFonts w:hint="eastAsia" w:ascii="Times New Roman" w:hAnsi="Times New Roman" w:eastAsia="方正仿宋_GBK" w:cs="Times New Roman"/>
          <w:color w:val="auto"/>
          <w:spacing w:val="5"/>
          <w:sz w:val="32"/>
          <w:szCs w:val="32"/>
          <w:highlight w:val="none"/>
          <w:lang w:val="en-US" w:eastAsia="zh-CN"/>
        </w:rPr>
        <w:t>23.02</w:t>
      </w:r>
      <w:r>
        <w:rPr>
          <w:rFonts w:hint="default" w:ascii="Times New Roman" w:hAnsi="Times New Roman" w:eastAsia="方正仿宋_GBK" w:cs="Times New Roman"/>
          <w:color w:val="auto"/>
          <w:spacing w:val="5"/>
          <w:sz w:val="32"/>
          <w:szCs w:val="32"/>
          <w:highlight w:val="none"/>
          <w:lang w:eastAsia="zh-CN"/>
        </w:rPr>
        <w:t>%。决算数</w:t>
      </w:r>
      <w:r>
        <w:rPr>
          <w:rFonts w:hint="default" w:ascii="Times New Roman" w:hAnsi="Times New Roman" w:eastAsia="方正仿宋_GBK" w:cs="Times New Roman"/>
          <w:color w:val="auto"/>
          <w:spacing w:val="5"/>
          <w:sz w:val="32"/>
          <w:szCs w:val="32"/>
          <w:highlight w:val="none"/>
          <w:lang w:val="en-US" w:eastAsia="zh-CN"/>
        </w:rPr>
        <w:t>大</w:t>
      </w:r>
      <w:r>
        <w:rPr>
          <w:rFonts w:hint="default" w:ascii="Times New Roman" w:hAnsi="Times New Roman" w:eastAsia="方正仿宋_GBK" w:cs="Times New Roman"/>
          <w:color w:val="auto"/>
          <w:spacing w:val="5"/>
          <w:sz w:val="32"/>
          <w:szCs w:val="32"/>
          <w:highlight w:val="none"/>
          <w:lang w:eastAsia="zh-CN"/>
        </w:rPr>
        <w:t>于上年数的主要原因是</w:t>
      </w:r>
      <w:bookmarkStart w:id="34" w:name="bookmark24"/>
      <w:bookmarkEnd w:id="34"/>
      <w:r>
        <w:rPr>
          <w:rFonts w:hint="eastAsia" w:ascii="Times New Roman" w:hAnsi="Times New Roman" w:eastAsia="方正仿宋_GBK" w:cs="Times New Roman"/>
          <w:color w:val="auto"/>
          <w:spacing w:val="5"/>
          <w:sz w:val="32"/>
          <w:szCs w:val="32"/>
          <w:highlight w:val="none"/>
          <w:lang w:eastAsia="zh-CN"/>
        </w:rPr>
        <w:t>我单位</w:t>
      </w:r>
      <w:r>
        <w:rPr>
          <w:rFonts w:hint="eastAsia" w:ascii="Times New Roman" w:hAnsi="Times New Roman" w:eastAsia="方正仿宋_GBK" w:cs="Times New Roman"/>
          <w:color w:val="auto"/>
          <w:spacing w:val="11"/>
          <w:sz w:val="32"/>
          <w:szCs w:val="32"/>
          <w:highlight w:val="none"/>
          <w:lang w:val="en-US" w:eastAsia="zh-CN"/>
        </w:rPr>
        <w:t>本年度行政编制人数增加，一下控制数公用经费项目增加</w:t>
      </w:r>
      <w:r>
        <w:rPr>
          <w:rFonts w:hint="eastAsia" w:ascii="Times New Roman" w:hAnsi="Times New Roman" w:eastAsia="方正仿宋_GBK" w:cs="Times New Roman"/>
          <w:color w:val="auto"/>
          <w:spacing w:val="5"/>
          <w:sz w:val="32"/>
          <w:szCs w:val="32"/>
          <w:highlight w:val="none"/>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rPr>
      </w:pPr>
      <w:bookmarkStart w:id="35" w:name="_Toc13169103"/>
      <w:r>
        <w:rPr>
          <w:rFonts w:hint="eastAsia" w:ascii="Times New Roman" w:hAnsi="Times New Roman" w:eastAsia="方正黑体_GBK" w:cs="Times New Roman"/>
          <w:color w:val="auto"/>
          <w:spacing w:val="9"/>
          <w:sz w:val="32"/>
          <w:szCs w:val="32"/>
          <w:highlight w:val="none"/>
          <w:lang w:eastAsia="zh-CN"/>
        </w:rPr>
        <w:t>九、</w:t>
      </w:r>
      <w:r>
        <w:rPr>
          <w:rFonts w:hint="default" w:ascii="Times New Roman" w:hAnsi="Times New Roman" w:eastAsia="方正黑体_GBK" w:cs="Times New Roman"/>
          <w:color w:val="auto"/>
          <w:spacing w:val="9"/>
          <w:sz w:val="32"/>
          <w:szCs w:val="32"/>
          <w:highlight w:val="none"/>
        </w:rPr>
        <w:t>政府采购支出情况说明</w:t>
      </w:r>
      <w:bookmarkEnd w:id="35"/>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jc w:val="both"/>
        <w:textAlignment w:val="baseline"/>
        <w:rPr>
          <w:rFonts w:hint="default" w:ascii="Times New Roman" w:hAnsi="Times New Roman" w:eastAsia="方正仿宋_GBK" w:cs="Times New Roman"/>
          <w:color w:val="auto"/>
          <w:spacing w:val="5"/>
          <w:sz w:val="32"/>
          <w:szCs w:val="32"/>
          <w:highlight w:val="none"/>
          <w:lang w:eastAsia="zh-CN"/>
        </w:rPr>
      </w:pPr>
      <w:r>
        <w:rPr>
          <w:rFonts w:hint="eastAsia" w:ascii="Times New Roman" w:hAnsi="Times New Roman" w:eastAsia="方正仿宋_GBK" w:cs="Times New Roman"/>
          <w:color w:val="auto"/>
          <w:spacing w:val="5"/>
          <w:sz w:val="32"/>
          <w:szCs w:val="32"/>
          <w:highlight w:val="none"/>
          <w:lang w:val="en-US" w:eastAsia="zh-CN"/>
        </w:rPr>
        <w:t>安仁县</w:t>
      </w:r>
      <w:r>
        <w:rPr>
          <w:rFonts w:hint="eastAsia" w:ascii="Times New Roman" w:hAnsi="Times New Roman" w:eastAsia="方正仿宋_GBK" w:cs="Times New Roman"/>
          <w:color w:val="auto"/>
          <w:spacing w:val="5"/>
          <w:sz w:val="32"/>
          <w:szCs w:val="32"/>
          <w:highlight w:val="none"/>
          <w:lang w:eastAsia="zh-CN"/>
        </w:rPr>
        <w:t>消防救援</w:t>
      </w:r>
      <w:r>
        <w:rPr>
          <w:rFonts w:hint="eastAsia" w:ascii="Times New Roman" w:hAnsi="Times New Roman" w:eastAsia="方正仿宋_GBK" w:cs="Times New Roman"/>
          <w:color w:val="auto"/>
          <w:spacing w:val="5"/>
          <w:sz w:val="32"/>
          <w:szCs w:val="32"/>
          <w:highlight w:val="none"/>
          <w:lang w:val="en-US" w:eastAsia="zh-CN"/>
        </w:rPr>
        <w:t>大</w:t>
      </w:r>
      <w:r>
        <w:rPr>
          <w:rFonts w:hint="eastAsia" w:ascii="Times New Roman" w:hAnsi="Times New Roman" w:eastAsia="方正仿宋_GBK" w:cs="Times New Roman"/>
          <w:color w:val="auto"/>
          <w:spacing w:val="5"/>
          <w:sz w:val="32"/>
          <w:szCs w:val="32"/>
          <w:highlight w:val="none"/>
          <w:lang w:eastAsia="zh-CN"/>
        </w:rPr>
        <w:t>队</w:t>
      </w:r>
      <w:r>
        <w:rPr>
          <w:rFonts w:hint="default" w:ascii="Times New Roman" w:hAnsi="Times New Roman" w:eastAsia="方正仿宋_GBK" w:cs="Times New Roman"/>
          <w:color w:val="auto"/>
          <w:spacing w:val="5"/>
          <w:sz w:val="32"/>
          <w:szCs w:val="32"/>
          <w:highlight w:val="none"/>
          <w:lang w:eastAsia="zh-CN"/>
        </w:rPr>
        <w:t>202</w:t>
      </w:r>
      <w:r>
        <w:rPr>
          <w:rFonts w:hint="default" w:ascii="Times New Roman" w:hAnsi="Times New Roman" w:eastAsia="方正仿宋_GBK"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lang w:eastAsia="zh-CN"/>
        </w:rPr>
        <w:t>年度政府采购支出总额</w:t>
      </w:r>
      <w:r>
        <w:rPr>
          <w:rFonts w:hint="eastAsia" w:ascii="Times New Roman" w:hAnsi="Times New Roman" w:eastAsia="方正仿宋_GBK" w:cs="Times New Roman"/>
          <w:color w:val="auto"/>
          <w:spacing w:val="5"/>
          <w:sz w:val="32"/>
          <w:szCs w:val="32"/>
          <w:highlight w:val="none"/>
          <w:lang w:val="en-US" w:eastAsia="zh-CN"/>
        </w:rPr>
        <w:t>163.82</w:t>
      </w:r>
      <w:r>
        <w:rPr>
          <w:rFonts w:hint="default" w:ascii="Times New Roman" w:hAnsi="Times New Roman" w:eastAsia="方正仿宋_GBK" w:cs="Times New Roman"/>
          <w:color w:val="auto"/>
          <w:spacing w:val="5"/>
          <w:sz w:val="32"/>
          <w:szCs w:val="32"/>
          <w:highlight w:val="none"/>
          <w:lang w:eastAsia="zh-CN"/>
        </w:rPr>
        <w:t>万元，其中：政府采购货物支出</w:t>
      </w:r>
      <w:r>
        <w:rPr>
          <w:rFonts w:hint="eastAsia" w:ascii="Times New Roman" w:hAnsi="Times New Roman" w:eastAsia="方正仿宋_GBK" w:cs="Times New Roman"/>
          <w:color w:val="auto"/>
          <w:spacing w:val="5"/>
          <w:sz w:val="32"/>
          <w:szCs w:val="32"/>
          <w:highlight w:val="none"/>
          <w:lang w:val="en-US" w:eastAsia="zh-CN"/>
        </w:rPr>
        <w:t>144</w:t>
      </w:r>
      <w:r>
        <w:rPr>
          <w:rFonts w:hint="default" w:ascii="Times New Roman" w:hAnsi="Times New Roman" w:eastAsia="方正仿宋_GBK" w:cs="Times New Roman"/>
          <w:color w:val="auto"/>
          <w:spacing w:val="5"/>
          <w:sz w:val="32"/>
          <w:szCs w:val="32"/>
          <w:highlight w:val="none"/>
          <w:lang w:eastAsia="zh-CN"/>
        </w:rPr>
        <w:t>万元、政府采购工程支出</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万元、政府采购服务支出</w:t>
      </w:r>
      <w:r>
        <w:rPr>
          <w:rFonts w:hint="eastAsia" w:ascii="Times New Roman" w:hAnsi="Times New Roman" w:eastAsia="方正仿宋_GBK" w:cs="Times New Roman"/>
          <w:color w:val="auto"/>
          <w:spacing w:val="5"/>
          <w:sz w:val="32"/>
          <w:szCs w:val="32"/>
          <w:highlight w:val="none"/>
          <w:lang w:val="en-US" w:eastAsia="zh-CN"/>
        </w:rPr>
        <w:t>19.82</w:t>
      </w:r>
      <w:r>
        <w:rPr>
          <w:rFonts w:hint="default" w:ascii="Times New Roman" w:hAnsi="Times New Roman" w:eastAsia="方正仿宋_GBK" w:cs="Times New Roman"/>
          <w:color w:val="auto"/>
          <w:spacing w:val="5"/>
          <w:sz w:val="32"/>
          <w:szCs w:val="32"/>
          <w:highlight w:val="none"/>
          <w:lang w:eastAsia="zh-CN"/>
        </w:rPr>
        <w:t>万元。授予中小企业合同金额</w:t>
      </w:r>
      <w:r>
        <w:rPr>
          <w:rFonts w:hint="eastAsia" w:ascii="Times New Roman" w:hAnsi="Times New Roman" w:eastAsia="方正仿宋_GBK" w:cs="Times New Roman"/>
          <w:color w:val="auto"/>
          <w:spacing w:val="5"/>
          <w:sz w:val="32"/>
          <w:szCs w:val="32"/>
          <w:highlight w:val="none"/>
          <w:lang w:val="en-US" w:eastAsia="zh-CN"/>
        </w:rPr>
        <w:t>144</w:t>
      </w:r>
      <w:r>
        <w:rPr>
          <w:rFonts w:hint="default" w:ascii="Times New Roman" w:hAnsi="Times New Roman" w:eastAsia="方正仿宋_GBK" w:cs="Times New Roman"/>
          <w:color w:val="auto"/>
          <w:spacing w:val="5"/>
          <w:sz w:val="32"/>
          <w:szCs w:val="32"/>
          <w:highlight w:val="none"/>
          <w:lang w:eastAsia="zh-CN"/>
        </w:rPr>
        <w:t>万元</w:t>
      </w:r>
      <w:r>
        <w:rPr>
          <w:rFonts w:hint="eastAsia" w:ascii="Times New Roman" w:hAnsi="Times New Roman" w:eastAsia="方正仿宋_GBK" w:cs="Times New Roman"/>
          <w:color w:val="auto"/>
          <w:spacing w:val="5"/>
          <w:sz w:val="32"/>
          <w:szCs w:val="32"/>
          <w:highlight w:val="none"/>
          <w:lang w:eastAsia="zh-CN"/>
        </w:rPr>
        <w:t>，</w:t>
      </w:r>
      <w:r>
        <w:rPr>
          <w:rFonts w:hint="default" w:ascii="Times New Roman" w:hAnsi="Times New Roman" w:eastAsia="方正仿宋_GBK" w:cs="Times New Roman"/>
          <w:color w:val="auto"/>
          <w:spacing w:val="5"/>
          <w:sz w:val="32"/>
          <w:szCs w:val="32"/>
          <w:highlight w:val="none"/>
          <w:lang w:eastAsia="zh-CN"/>
        </w:rPr>
        <w:t>占政府采购支出总额的</w:t>
      </w:r>
      <w:r>
        <w:rPr>
          <w:rFonts w:hint="eastAsia" w:ascii="Times New Roman" w:hAnsi="Times New Roman" w:eastAsia="方正仿宋_GBK" w:cs="Times New Roman"/>
          <w:color w:val="auto"/>
          <w:spacing w:val="5"/>
          <w:sz w:val="32"/>
          <w:szCs w:val="32"/>
          <w:highlight w:val="none"/>
          <w:lang w:val="en-US" w:eastAsia="zh-CN"/>
        </w:rPr>
        <w:t>87.9</w:t>
      </w:r>
      <w:r>
        <w:rPr>
          <w:rFonts w:hint="default" w:ascii="Times New Roman" w:hAnsi="Times New Roman" w:eastAsia="方正仿宋_GBK" w:cs="Times New Roman"/>
          <w:color w:val="auto"/>
          <w:spacing w:val="5"/>
          <w:sz w:val="32"/>
          <w:szCs w:val="32"/>
          <w:highlight w:val="none"/>
          <w:lang w:eastAsia="zh-CN"/>
        </w:rPr>
        <w:t>%，其中：授予小微企业合同金额</w:t>
      </w:r>
      <w:r>
        <w:rPr>
          <w:rFonts w:hint="eastAsia" w:ascii="Times New Roman" w:hAnsi="Times New Roman" w:eastAsia="方正仿宋_GBK" w:cs="Times New Roman"/>
          <w:color w:val="auto"/>
          <w:spacing w:val="5"/>
          <w:sz w:val="32"/>
          <w:szCs w:val="32"/>
          <w:highlight w:val="none"/>
          <w:lang w:val="en-US" w:eastAsia="zh-CN"/>
        </w:rPr>
        <w:t>144</w:t>
      </w:r>
      <w:r>
        <w:rPr>
          <w:rFonts w:hint="default" w:ascii="Times New Roman" w:hAnsi="Times New Roman" w:eastAsia="方正仿宋_GBK" w:cs="Times New Roman"/>
          <w:color w:val="auto"/>
          <w:spacing w:val="5"/>
          <w:sz w:val="32"/>
          <w:szCs w:val="32"/>
          <w:highlight w:val="none"/>
          <w:lang w:eastAsia="zh-CN"/>
        </w:rPr>
        <w:t>万元，占授予中小企业合同金额的</w:t>
      </w:r>
      <w:r>
        <w:rPr>
          <w:rFonts w:hint="eastAsia" w:ascii="Times New Roman" w:hAnsi="Times New Roman" w:eastAsia="方正仿宋_GBK" w:cs="Times New Roman"/>
          <w:color w:val="auto"/>
          <w:spacing w:val="5"/>
          <w:sz w:val="32"/>
          <w:szCs w:val="32"/>
          <w:highlight w:val="none"/>
          <w:lang w:val="en-US" w:eastAsia="zh-CN"/>
        </w:rPr>
        <w:t>100</w:t>
      </w:r>
      <w:r>
        <w:rPr>
          <w:rFonts w:hint="default" w:ascii="Times New Roman" w:hAnsi="Times New Roman" w:eastAsia="方正仿宋_GBK" w:cs="Times New Roman"/>
          <w:color w:val="auto"/>
          <w:spacing w:val="5"/>
          <w:sz w:val="32"/>
          <w:szCs w:val="32"/>
          <w:highlight w:val="none"/>
          <w:lang w:eastAsia="zh-CN"/>
        </w:rPr>
        <w:t>%；货物采购授予中小企业合同金额占货物支出金额的</w:t>
      </w:r>
      <w:r>
        <w:rPr>
          <w:rFonts w:hint="eastAsia" w:ascii="Times New Roman" w:hAnsi="Times New Roman" w:eastAsia="方正仿宋_GBK" w:cs="Times New Roman"/>
          <w:color w:val="auto"/>
          <w:spacing w:val="5"/>
          <w:sz w:val="32"/>
          <w:szCs w:val="32"/>
          <w:highlight w:val="none"/>
          <w:lang w:val="en-US" w:eastAsia="zh-CN"/>
        </w:rPr>
        <w:t>100</w:t>
      </w:r>
      <w:r>
        <w:rPr>
          <w:rFonts w:hint="default" w:ascii="Times New Roman" w:hAnsi="Times New Roman" w:eastAsia="方正仿宋_GBK" w:cs="Times New Roman"/>
          <w:color w:val="auto"/>
          <w:spacing w:val="5"/>
          <w:sz w:val="32"/>
          <w:szCs w:val="32"/>
          <w:highlight w:val="none"/>
          <w:lang w:eastAsia="zh-CN"/>
        </w:rPr>
        <w:t>%，工程采购授予中小企业合同金额占工程支出金额的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%，服务采购授予中小企业合同金额占服务支出金额的</w:t>
      </w:r>
      <w:r>
        <w:rPr>
          <w:rFonts w:hint="eastAsia" w:ascii="Times New Roman" w:hAnsi="Times New Roman" w:eastAsia="方正仿宋_GBK" w:cs="Times New Roman"/>
          <w:color w:val="auto"/>
          <w:spacing w:val="5"/>
          <w:sz w:val="32"/>
          <w:szCs w:val="32"/>
          <w:highlight w:val="none"/>
          <w:lang w:val="en-US" w:eastAsia="zh-CN"/>
        </w:rPr>
        <w:t>0</w:t>
      </w:r>
      <w:r>
        <w:rPr>
          <w:rFonts w:hint="default" w:ascii="Times New Roman" w:hAnsi="Times New Roman" w:eastAsia="方正仿宋_GBK" w:cs="Times New Roman"/>
          <w:color w:val="auto"/>
          <w:spacing w:val="5"/>
          <w:sz w:val="32"/>
          <w:szCs w:val="32"/>
          <w:highlight w:val="none"/>
          <w:lang w:eastAsia="zh-CN"/>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6" w:name="bookmark25"/>
      <w:bookmarkEnd w:id="36"/>
      <w:bookmarkStart w:id="37" w:name="_Toc1738618549"/>
      <w:r>
        <w:rPr>
          <w:rFonts w:hint="default" w:ascii="Times New Roman" w:hAnsi="Times New Roman" w:eastAsia="方正黑体_GBK" w:cs="Times New Roman"/>
          <w:color w:val="auto"/>
          <w:spacing w:val="9"/>
          <w:sz w:val="32"/>
          <w:szCs w:val="32"/>
          <w:highlight w:val="none"/>
          <w:lang w:eastAsia="zh-CN"/>
        </w:rPr>
        <w:t>十、国有资产占用情况说明</w:t>
      </w:r>
      <w:bookmarkEnd w:id="37"/>
    </w:p>
    <w:p>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default" w:ascii="Times New Roman" w:hAnsi="Times New Roman" w:eastAsia="方正仿宋_GBK" w:cs="Times New Roman"/>
          <w:color w:val="auto"/>
          <w:spacing w:val="7"/>
          <w:sz w:val="32"/>
          <w:szCs w:val="32"/>
          <w:highlight w:val="none"/>
          <w:lang w:val="en-US" w:eastAsia="zh-CN"/>
        </w:rPr>
      </w:pPr>
      <w:r>
        <w:rPr>
          <w:rFonts w:hint="default" w:ascii="Times New Roman" w:hAnsi="Times New Roman" w:eastAsia="方正仿宋_GBK" w:cs="Times New Roman"/>
          <w:color w:val="auto"/>
          <w:spacing w:val="7"/>
          <w:sz w:val="32"/>
          <w:szCs w:val="32"/>
          <w:highlight w:val="none"/>
          <w:lang w:val="en-US" w:eastAsia="zh-CN"/>
        </w:rPr>
        <w:t>截至2025年12月31日，</w:t>
      </w:r>
      <w:r>
        <w:rPr>
          <w:rFonts w:hint="eastAsia" w:ascii="Times New Roman" w:hAnsi="Times New Roman" w:eastAsia="方正仿宋_GBK" w:cs="Times New Roman"/>
          <w:color w:val="auto"/>
          <w:spacing w:val="5"/>
          <w:sz w:val="32"/>
          <w:szCs w:val="32"/>
          <w:highlight w:val="none"/>
          <w:lang w:val="en-US" w:eastAsia="zh-CN"/>
        </w:rPr>
        <w:t>安仁县</w:t>
      </w:r>
      <w:r>
        <w:rPr>
          <w:rFonts w:hint="eastAsia" w:ascii="Times New Roman" w:hAnsi="Times New Roman" w:eastAsia="方正仿宋_GBK" w:cs="Times New Roman"/>
          <w:color w:val="auto"/>
          <w:spacing w:val="5"/>
          <w:sz w:val="32"/>
          <w:szCs w:val="32"/>
          <w:highlight w:val="none"/>
          <w:lang w:eastAsia="zh-CN"/>
        </w:rPr>
        <w:t>消防救援</w:t>
      </w:r>
      <w:r>
        <w:rPr>
          <w:rFonts w:hint="eastAsia" w:ascii="Times New Roman" w:hAnsi="Times New Roman" w:eastAsia="方正仿宋_GBK" w:cs="Times New Roman"/>
          <w:color w:val="auto"/>
          <w:spacing w:val="5"/>
          <w:sz w:val="32"/>
          <w:szCs w:val="32"/>
          <w:highlight w:val="none"/>
          <w:lang w:val="en-US" w:eastAsia="zh-CN"/>
        </w:rPr>
        <w:t>大</w:t>
      </w:r>
      <w:r>
        <w:rPr>
          <w:rFonts w:hint="eastAsia" w:ascii="Times New Roman" w:hAnsi="Times New Roman" w:eastAsia="方正仿宋_GBK" w:cs="Times New Roman"/>
          <w:color w:val="auto"/>
          <w:spacing w:val="5"/>
          <w:sz w:val="32"/>
          <w:szCs w:val="32"/>
          <w:highlight w:val="none"/>
          <w:lang w:eastAsia="zh-CN"/>
        </w:rPr>
        <w:t>队</w:t>
      </w:r>
      <w:r>
        <w:rPr>
          <w:rFonts w:hint="default" w:ascii="Times New Roman" w:hAnsi="Times New Roman" w:eastAsia="方正仿宋_GBK" w:cs="Times New Roman"/>
          <w:color w:val="auto"/>
          <w:spacing w:val="7"/>
          <w:sz w:val="32"/>
          <w:szCs w:val="32"/>
          <w:highlight w:val="none"/>
          <w:lang w:val="en-US" w:eastAsia="zh-CN"/>
        </w:rPr>
        <w:t>共有车辆</w:t>
      </w:r>
      <w:r>
        <w:rPr>
          <w:rFonts w:hint="eastAsia" w:ascii="Times New Roman" w:hAnsi="Times New Roman" w:eastAsia="方正仿宋_GBK" w:cs="Times New Roman"/>
          <w:color w:val="auto"/>
          <w:spacing w:val="7"/>
          <w:sz w:val="32"/>
          <w:szCs w:val="32"/>
          <w:highlight w:val="none"/>
          <w:lang w:val="en-US" w:eastAsia="zh-CN"/>
        </w:rPr>
        <w:t>12</w:t>
      </w:r>
      <w:r>
        <w:rPr>
          <w:rFonts w:hint="default" w:ascii="Times New Roman" w:hAnsi="Times New Roman" w:eastAsia="方正仿宋_GBK" w:cs="Times New Roman"/>
          <w:color w:val="auto"/>
          <w:spacing w:val="7"/>
          <w:sz w:val="32"/>
          <w:szCs w:val="32"/>
          <w:highlight w:val="none"/>
          <w:lang w:val="en-US" w:eastAsia="zh-CN"/>
        </w:rPr>
        <w:t>辆，其中，机要通信用车</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辆、应急保障用车</w:t>
      </w:r>
      <w:r>
        <w:rPr>
          <w:rFonts w:hint="eastAsia" w:ascii="Times New Roman" w:hAnsi="Times New Roman" w:eastAsia="方正仿宋_GBK" w:cs="Times New Roman"/>
          <w:color w:val="auto"/>
          <w:spacing w:val="7"/>
          <w:sz w:val="32"/>
          <w:szCs w:val="32"/>
          <w:highlight w:val="none"/>
          <w:lang w:val="en-US" w:eastAsia="zh-CN"/>
        </w:rPr>
        <w:t>1</w:t>
      </w:r>
      <w:r>
        <w:rPr>
          <w:rFonts w:hint="default" w:ascii="Times New Roman" w:hAnsi="Times New Roman" w:eastAsia="方正仿宋_GBK" w:cs="Times New Roman"/>
          <w:color w:val="auto"/>
          <w:spacing w:val="7"/>
          <w:sz w:val="32"/>
          <w:szCs w:val="32"/>
          <w:highlight w:val="none"/>
          <w:lang w:val="en-US" w:eastAsia="zh-CN"/>
        </w:rPr>
        <w:t>辆、执法执勤用车</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辆、特种专业技术用车</w:t>
      </w:r>
      <w:r>
        <w:rPr>
          <w:rFonts w:hint="eastAsia" w:ascii="Times New Roman" w:hAnsi="Times New Roman" w:eastAsia="方正仿宋_GBK" w:cs="Times New Roman"/>
          <w:color w:val="auto"/>
          <w:spacing w:val="7"/>
          <w:sz w:val="32"/>
          <w:szCs w:val="32"/>
          <w:highlight w:val="none"/>
          <w:lang w:val="en-US" w:eastAsia="zh-CN"/>
        </w:rPr>
        <w:t>11</w:t>
      </w:r>
      <w:r>
        <w:rPr>
          <w:rFonts w:hint="default" w:ascii="Times New Roman" w:hAnsi="Times New Roman" w:eastAsia="方正仿宋_GBK" w:cs="Times New Roman"/>
          <w:color w:val="auto"/>
          <w:spacing w:val="7"/>
          <w:sz w:val="32"/>
          <w:szCs w:val="32"/>
          <w:highlight w:val="none"/>
          <w:lang w:val="en-US" w:eastAsia="zh-CN"/>
        </w:rPr>
        <w:t>辆</w:t>
      </w:r>
      <w:r>
        <w:rPr>
          <w:rFonts w:hint="eastAsia" w:ascii="Times New Roman" w:hAnsi="Times New Roman" w:eastAsia="方正仿宋_GBK" w:cs="Times New Roman"/>
          <w:color w:val="auto"/>
          <w:spacing w:val="7"/>
          <w:sz w:val="32"/>
          <w:szCs w:val="32"/>
          <w:highlight w:val="none"/>
          <w:lang w:val="en-US" w:eastAsia="zh-CN"/>
        </w:rPr>
        <w:t>、其他用车0辆</w:t>
      </w:r>
      <w:r>
        <w:rPr>
          <w:rFonts w:hint="default" w:ascii="Times New Roman" w:hAnsi="Times New Roman" w:eastAsia="方正仿宋_GBK" w:cs="Times New Roman"/>
          <w:color w:val="auto"/>
          <w:spacing w:val="7"/>
          <w:sz w:val="32"/>
          <w:szCs w:val="32"/>
          <w:highlight w:val="none"/>
          <w:lang w:val="en-US" w:eastAsia="zh-CN"/>
        </w:rPr>
        <w:t>；单位价值100万元以上的专用设备</w:t>
      </w:r>
      <w:r>
        <w:rPr>
          <w:rFonts w:hint="eastAsia" w:ascii="Times New Roman" w:hAnsi="Times New Roman" w:eastAsia="方正仿宋_GBK" w:cs="Times New Roman"/>
          <w:color w:val="auto"/>
          <w:spacing w:val="7"/>
          <w:sz w:val="32"/>
          <w:szCs w:val="32"/>
          <w:highlight w:val="none"/>
          <w:lang w:val="en-US" w:eastAsia="zh-CN"/>
        </w:rPr>
        <w:t>0</w:t>
      </w:r>
      <w:r>
        <w:rPr>
          <w:rFonts w:hint="default" w:ascii="Times New Roman" w:hAnsi="Times New Roman" w:eastAsia="方正仿宋_GBK" w:cs="Times New Roman"/>
          <w:color w:val="auto"/>
          <w:spacing w:val="7"/>
          <w:sz w:val="32"/>
          <w:szCs w:val="32"/>
          <w:highlight w:val="none"/>
          <w:lang w:val="en-US" w:eastAsia="zh-CN"/>
        </w:rPr>
        <w:t>台（套）。</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8" w:name="bookmark26"/>
      <w:bookmarkEnd w:id="38"/>
      <w:bookmarkStart w:id="39" w:name="_Toc642847263"/>
      <w:r>
        <w:rPr>
          <w:rFonts w:hint="default" w:ascii="Times New Roman" w:hAnsi="Times New Roman" w:eastAsia="方正黑体_GBK" w:cs="Times New Roman"/>
          <w:color w:val="auto"/>
          <w:spacing w:val="9"/>
          <w:sz w:val="32"/>
          <w:szCs w:val="32"/>
          <w:highlight w:val="none"/>
          <w:lang w:eastAsia="zh-CN"/>
        </w:rPr>
        <w:t>十一、关于202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bookmarkEnd w:id="39"/>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40" w:name="_Toc1231291882"/>
      <w:r>
        <w:rPr>
          <w:rFonts w:hint="default" w:ascii="Times New Roman" w:hAnsi="Times New Roman" w:eastAsia="方正楷体_GBK" w:cs="Times New Roman"/>
          <w:b w:val="0"/>
          <w:bCs w:val="0"/>
          <w:color w:val="auto"/>
          <w:spacing w:val="11"/>
          <w:sz w:val="32"/>
          <w:szCs w:val="32"/>
          <w:highlight w:val="none"/>
        </w:rPr>
        <w:t>（一）绩效评价工作开展情况</w:t>
      </w:r>
      <w:bookmarkEnd w:id="40"/>
    </w:p>
    <w:p>
      <w:pPr>
        <w:widowControl/>
        <w:spacing w:line="540" w:lineRule="exact"/>
        <w:ind w:firstLine="660" w:firstLineChars="200"/>
        <w:jc w:val="left"/>
        <w:outlineLvl w:val="9"/>
        <w:rPr>
          <w:rFonts w:hint="eastAsia"/>
          <w:sz w:val="32"/>
          <w:szCs w:val="32"/>
          <w:lang w:val="en-US" w:eastAsia="zh-CN"/>
        </w:rPr>
      </w:pPr>
      <w:r>
        <w:rPr>
          <w:rFonts w:hint="default" w:ascii="Times New Roman" w:hAnsi="Times New Roman" w:eastAsia="方正仿宋_GBK" w:cs="Times New Roman"/>
          <w:color w:val="auto"/>
          <w:spacing w:val="5"/>
          <w:sz w:val="32"/>
          <w:szCs w:val="32"/>
          <w:highlight w:val="none"/>
        </w:rPr>
        <w:t>根据预算绩效管理要求，</w:t>
      </w:r>
      <w:r>
        <w:rPr>
          <w:rFonts w:hint="eastAsia" w:ascii="Times New Roman" w:hAnsi="Times New Roman" w:eastAsia="方正仿宋_GBK" w:cs="Times New Roman"/>
          <w:color w:val="auto"/>
          <w:spacing w:val="5"/>
          <w:sz w:val="32"/>
          <w:szCs w:val="32"/>
          <w:highlight w:val="none"/>
          <w:lang w:val="en-US" w:eastAsia="zh-CN"/>
        </w:rPr>
        <w:t>安仁县</w:t>
      </w:r>
      <w:r>
        <w:rPr>
          <w:rFonts w:hint="eastAsia" w:ascii="Times New Roman" w:hAnsi="Times New Roman" w:eastAsia="方正仿宋_GBK" w:cs="Times New Roman"/>
          <w:color w:val="auto"/>
          <w:spacing w:val="5"/>
          <w:sz w:val="32"/>
          <w:szCs w:val="32"/>
          <w:highlight w:val="none"/>
          <w:lang w:eastAsia="zh-CN"/>
        </w:rPr>
        <w:t>消防救援</w:t>
      </w:r>
      <w:r>
        <w:rPr>
          <w:rFonts w:hint="eastAsia" w:ascii="Times New Roman" w:hAnsi="Times New Roman" w:eastAsia="方正仿宋_GBK" w:cs="Times New Roman"/>
          <w:color w:val="auto"/>
          <w:spacing w:val="5"/>
          <w:sz w:val="32"/>
          <w:szCs w:val="32"/>
          <w:highlight w:val="none"/>
          <w:lang w:val="en-US" w:eastAsia="zh-CN"/>
        </w:rPr>
        <w:t>大</w:t>
      </w:r>
      <w:r>
        <w:rPr>
          <w:rFonts w:hint="eastAsia" w:ascii="Times New Roman" w:hAnsi="Times New Roman" w:eastAsia="方正仿宋_GBK" w:cs="Times New Roman"/>
          <w:color w:val="auto"/>
          <w:spacing w:val="5"/>
          <w:sz w:val="32"/>
          <w:szCs w:val="32"/>
          <w:highlight w:val="none"/>
          <w:lang w:eastAsia="zh-CN"/>
        </w:rPr>
        <w:t>队</w:t>
      </w:r>
      <w:r>
        <w:rPr>
          <w:rFonts w:hint="default" w:ascii="Times New Roman" w:hAnsi="Times New Roman" w:eastAsia="方正仿宋_GBK" w:cs="Times New Roman"/>
          <w:color w:val="auto"/>
          <w:spacing w:val="5"/>
          <w:sz w:val="32"/>
          <w:szCs w:val="32"/>
          <w:highlight w:val="none"/>
        </w:rPr>
        <w:t>组织对</w:t>
      </w:r>
      <w:r>
        <w:rPr>
          <w:rFonts w:hint="default" w:ascii="Times New Roman" w:hAnsi="Times New Roman" w:eastAsia="Times New Roman" w:cs="Times New Roman"/>
          <w:color w:val="auto"/>
          <w:spacing w:val="5"/>
          <w:sz w:val="32"/>
          <w:szCs w:val="32"/>
          <w:highlight w:val="none"/>
        </w:rPr>
        <w:t>202</w:t>
      </w:r>
      <w:r>
        <w:rPr>
          <w:rFonts w:hint="default" w:ascii="Times New Roman" w:hAnsi="Times New Roman" w:eastAsia="宋体" w:cs="Times New Roman"/>
          <w:color w:val="auto"/>
          <w:spacing w:val="5"/>
          <w:sz w:val="32"/>
          <w:szCs w:val="32"/>
          <w:highlight w:val="none"/>
          <w:lang w:val="en-US" w:eastAsia="zh-CN"/>
        </w:rPr>
        <w:t>5</w:t>
      </w:r>
      <w:r>
        <w:rPr>
          <w:rFonts w:hint="default" w:ascii="Times New Roman" w:hAnsi="Times New Roman" w:eastAsia="方正仿宋_GBK" w:cs="Times New Roman"/>
          <w:color w:val="auto"/>
          <w:spacing w:val="5"/>
          <w:sz w:val="32"/>
          <w:szCs w:val="32"/>
          <w:highlight w:val="none"/>
        </w:rPr>
        <w:t>年度</w:t>
      </w:r>
      <w:r>
        <w:rPr>
          <w:rFonts w:hint="default" w:ascii="Times New Roman" w:hAnsi="Times New Roman" w:eastAsia="方正仿宋_GBK" w:cs="Times New Roman"/>
          <w:color w:val="auto"/>
          <w:spacing w:val="-3"/>
          <w:sz w:val="32"/>
          <w:szCs w:val="32"/>
          <w:highlight w:val="none"/>
        </w:rPr>
        <w:t>一般公共预算项目支出全面开</w:t>
      </w:r>
      <w:r>
        <w:rPr>
          <w:rFonts w:hint="default" w:ascii="Times New Roman" w:hAnsi="Times New Roman" w:eastAsia="方正仿宋_GBK" w:cs="Times New Roman"/>
          <w:color w:val="auto"/>
          <w:spacing w:val="5"/>
          <w:sz w:val="32"/>
          <w:szCs w:val="32"/>
          <w:highlight w:val="none"/>
        </w:rPr>
        <w:t>展绩效自评。2025年</w:t>
      </w:r>
      <w:r>
        <w:rPr>
          <w:rFonts w:hint="eastAsia" w:ascii="Times New Roman" w:hAnsi="Times New Roman" w:eastAsia="方正仿宋_GBK" w:cs="Times New Roman"/>
          <w:color w:val="auto"/>
          <w:spacing w:val="5"/>
          <w:sz w:val="32"/>
          <w:szCs w:val="32"/>
          <w:highlight w:val="none"/>
          <w:lang w:eastAsia="zh-CN"/>
        </w:rPr>
        <w:t>度</w:t>
      </w:r>
      <w:r>
        <w:rPr>
          <w:rFonts w:hint="default" w:ascii="Times New Roman" w:hAnsi="Times New Roman" w:eastAsia="方正仿宋_GBK" w:cs="Times New Roman"/>
          <w:color w:val="auto"/>
          <w:spacing w:val="5"/>
          <w:sz w:val="32"/>
          <w:szCs w:val="32"/>
          <w:highlight w:val="none"/>
        </w:rPr>
        <w:t>年初批复项目1个，共纳入预算管理项目</w:t>
      </w:r>
      <w:r>
        <w:rPr>
          <w:rFonts w:hint="eastAsia" w:ascii="Times New Roman" w:hAnsi="Times New Roman" w:eastAsia="方正仿宋_GBK" w:cs="Times New Roman"/>
          <w:color w:val="auto"/>
          <w:spacing w:val="5"/>
          <w:sz w:val="32"/>
          <w:szCs w:val="32"/>
          <w:highlight w:val="none"/>
          <w:lang w:val="en-US" w:eastAsia="zh-CN"/>
        </w:rPr>
        <w:t>1</w:t>
      </w:r>
      <w:r>
        <w:rPr>
          <w:rFonts w:hint="default" w:ascii="Times New Roman" w:hAnsi="Times New Roman" w:eastAsia="方正仿宋_GBK" w:cs="Times New Roman"/>
          <w:color w:val="auto"/>
          <w:spacing w:val="5"/>
          <w:sz w:val="32"/>
          <w:szCs w:val="32"/>
          <w:highlight w:val="none"/>
        </w:rPr>
        <w:t>个。根据年度实际执行情况，实际参与绩效自评项目</w:t>
      </w:r>
      <w:r>
        <w:rPr>
          <w:rFonts w:hint="eastAsia" w:ascii="Times New Roman" w:hAnsi="Times New Roman" w:eastAsia="方正仿宋_GBK" w:cs="Times New Roman"/>
          <w:color w:val="auto"/>
          <w:spacing w:val="5"/>
          <w:sz w:val="32"/>
          <w:szCs w:val="32"/>
          <w:highlight w:val="none"/>
          <w:lang w:val="en-US" w:eastAsia="zh-CN"/>
        </w:rPr>
        <w:t>1</w:t>
      </w:r>
      <w:r>
        <w:rPr>
          <w:rFonts w:hint="default" w:ascii="Times New Roman" w:hAnsi="Times New Roman" w:eastAsia="方正仿宋_GBK" w:cs="Times New Roman"/>
          <w:color w:val="auto"/>
          <w:spacing w:val="5"/>
          <w:sz w:val="32"/>
          <w:szCs w:val="32"/>
          <w:highlight w:val="none"/>
        </w:rPr>
        <w:t>个</w:t>
      </w:r>
      <w:r>
        <w:rPr>
          <w:rFonts w:hint="eastAsia" w:ascii="Times New Roman" w:hAnsi="Times New Roman" w:eastAsia="方正仿宋_GBK" w:cs="Times New Roman"/>
          <w:color w:val="auto"/>
          <w:spacing w:val="5"/>
          <w:sz w:val="32"/>
          <w:szCs w:val="32"/>
          <w:highlight w:val="none"/>
          <w:lang w:eastAsia="zh-CN"/>
        </w:rPr>
        <w:t>，</w:t>
      </w:r>
      <w:r>
        <w:rPr>
          <w:rFonts w:hint="eastAsia" w:ascii="Times New Roman" w:hAnsi="Times New Roman" w:eastAsia="方正仿宋_GBK" w:cs="Times New Roman"/>
          <w:color w:val="auto"/>
          <w:spacing w:val="5"/>
          <w:sz w:val="32"/>
          <w:szCs w:val="32"/>
          <w:highlight w:val="none"/>
          <w:lang w:val="en-US" w:eastAsia="zh-CN"/>
        </w:rPr>
        <w:t>占一般公共预算项目支出总额的100%。</w:t>
      </w:r>
    </w:p>
    <w:p>
      <w:pPr>
        <w:widowControl/>
        <w:spacing w:line="540" w:lineRule="exact"/>
        <w:ind w:firstLine="640" w:firstLineChars="200"/>
        <w:jc w:val="left"/>
        <w:outlineLvl w:val="9"/>
        <w:rPr>
          <w:rFonts w:ascii="Times New Roman" w:hAnsi="Times New Roman" w:eastAsia="方正楷体_GBK"/>
          <w:b w:val="0"/>
          <w:bCs/>
          <w:kern w:val="0"/>
          <w:sz w:val="32"/>
          <w:szCs w:val="32"/>
          <w:highlight w:val="none"/>
        </w:rPr>
      </w:pPr>
      <w:bookmarkStart w:id="41" w:name="_Toc1131023706"/>
      <w:r>
        <w:rPr>
          <w:rFonts w:ascii="Times New Roman" w:hAnsi="Times New Roman" w:eastAsia="方正楷体_GBK"/>
          <w:b w:val="0"/>
          <w:bCs/>
          <w:kern w:val="0"/>
          <w:sz w:val="32"/>
          <w:szCs w:val="32"/>
          <w:highlight w:val="none"/>
        </w:rPr>
        <w:t>（二）项目绩效自评结果</w:t>
      </w:r>
      <w:bookmarkEnd w:id="41"/>
    </w:p>
    <w:p>
      <w:pPr>
        <w:spacing w:line="540" w:lineRule="exact"/>
        <w:ind w:firstLine="600"/>
        <w:outlineLvl w:val="9"/>
        <w:rPr>
          <w:rFonts w:hint="eastAsia" w:ascii="方正仿宋_GBK" w:hAnsi="方正仿宋_GBK" w:eastAsia="方正仿宋_GBK" w:cs="方正仿宋_GBK"/>
          <w:b w:val="0"/>
          <w:bCs w:val="0"/>
          <w:color w:val="auto"/>
          <w:sz w:val="32"/>
          <w:szCs w:val="32"/>
          <w:highlight w:val="none"/>
        </w:rPr>
      </w:pPr>
      <w:bookmarkStart w:id="42" w:name="_Toc1149811957"/>
      <w:r>
        <w:rPr>
          <w:rFonts w:ascii="Times New Roman" w:hAnsi="Times New Roman" w:eastAsia="方正仿宋_GBK"/>
          <w:b w:val="0"/>
          <w:bCs w:val="0"/>
          <w:color w:val="auto"/>
          <w:sz w:val="32"/>
          <w:szCs w:val="32"/>
          <w:highlight w:val="none"/>
        </w:rPr>
        <w:t>1．服装</w:t>
      </w:r>
      <w:r>
        <w:rPr>
          <w:rFonts w:hint="eastAsia" w:ascii="方正仿宋_GBK" w:hAnsi="方正仿宋_GBK" w:eastAsia="方正仿宋_GBK" w:cs="方正仿宋_GBK"/>
          <w:b w:val="0"/>
          <w:bCs w:val="0"/>
          <w:color w:val="auto"/>
          <w:sz w:val="32"/>
          <w:szCs w:val="32"/>
          <w:highlight w:val="none"/>
        </w:rPr>
        <w:t>护具及伙食补助项目</w:t>
      </w:r>
      <w:bookmarkEnd w:id="42"/>
    </w:p>
    <w:p>
      <w:pPr>
        <w:topLinePunct w:val="0"/>
        <w:autoSpaceDE/>
        <w:autoSpaceDN/>
        <w:snapToGrid/>
        <w:spacing w:line="550" w:lineRule="exact"/>
        <w:ind w:firstLine="640" w:firstLineChars="200"/>
        <w:outlineLvl w:val="9"/>
        <w:rPr>
          <w:rFonts w:hint="eastAsia" w:ascii="方正仿宋_GBK" w:hAnsi="方正仿宋_GBK" w:eastAsia="方正仿宋_GBK" w:cs="方正仿宋_GBK"/>
          <w:b w:val="0"/>
          <w:bCs w:val="0"/>
          <w:color w:val="auto"/>
          <w:sz w:val="32"/>
          <w:szCs w:val="32"/>
          <w:highlight w:val="cyan"/>
        </w:rPr>
      </w:pPr>
      <w:r>
        <w:rPr>
          <w:rFonts w:hint="eastAsia" w:ascii="方正仿宋_GBK" w:hAnsi="方正仿宋_GBK" w:eastAsia="方正仿宋_GBK" w:cs="方正仿宋_GBK"/>
          <w:b w:val="0"/>
          <w:bCs w:val="0"/>
          <w:color w:val="auto"/>
          <w:sz w:val="32"/>
          <w:szCs w:val="32"/>
          <w:highlight w:val="none"/>
        </w:rPr>
        <w:t>绩效自评综述：</w:t>
      </w:r>
      <w:r>
        <w:rPr>
          <w:rFonts w:hint="eastAsia" w:ascii="方正仿宋_GBK" w:hAnsi="方正仿宋_GBK" w:eastAsia="方正仿宋_GBK" w:cs="方正仿宋_GBK"/>
          <w:b w:val="0"/>
          <w:bCs w:val="0"/>
          <w:sz w:val="32"/>
          <w:szCs w:val="32"/>
        </w:rPr>
        <w:t>该类项目为各级按照现行伙食费保障标准和政策要求申报的伙食费专项资金。</w:t>
      </w:r>
      <w:r>
        <w:rPr>
          <w:rFonts w:hint="eastAsia" w:ascii="方正仿宋_GBK" w:hAnsi="方正仿宋_GBK" w:eastAsia="方正仿宋_GBK" w:cs="方正仿宋_GBK"/>
          <w:b w:val="0"/>
          <w:bCs w:val="0"/>
          <w:color w:val="auto"/>
          <w:sz w:val="32"/>
          <w:szCs w:val="32"/>
          <w:highlight w:val="none"/>
          <w:lang w:val="en-US" w:eastAsia="zh-CN"/>
        </w:rPr>
        <w:t>根据年初设定的绩效目标，项目自评得</w:t>
      </w:r>
      <w:r>
        <w:rPr>
          <w:rFonts w:hint="eastAsia" w:ascii="方正仿宋_GBK" w:hAnsi="方正仿宋_GBK" w:eastAsia="方正仿宋_GBK" w:cs="方正仿宋_GBK"/>
          <w:b w:val="0"/>
          <w:bCs w:val="0"/>
          <w:color w:val="auto"/>
          <w:sz w:val="32"/>
          <w:szCs w:val="32"/>
          <w:highlight w:val="none"/>
        </w:rPr>
        <w:t>分均在</w:t>
      </w:r>
      <w:r>
        <w:rPr>
          <w:rFonts w:hint="eastAsia" w:ascii="方正仿宋_GBK" w:hAnsi="方正仿宋_GBK" w:eastAsia="方正仿宋_GBK" w:cs="方正仿宋_GBK"/>
          <w:b w:val="0"/>
          <w:bCs w:val="0"/>
          <w:color w:val="auto"/>
          <w:sz w:val="32"/>
          <w:szCs w:val="32"/>
          <w:highlight w:val="none"/>
          <w:lang w:eastAsia="zh-CN"/>
        </w:rPr>
        <w:t>良好</w:t>
      </w:r>
      <w:r>
        <w:rPr>
          <w:rFonts w:hint="eastAsia" w:ascii="方正仿宋_GBK" w:hAnsi="方正仿宋_GBK" w:eastAsia="方正仿宋_GBK" w:cs="方正仿宋_GBK"/>
          <w:b w:val="0"/>
          <w:bCs w:val="0"/>
          <w:color w:val="auto"/>
          <w:sz w:val="32"/>
          <w:szCs w:val="32"/>
          <w:highlight w:val="none"/>
        </w:rPr>
        <w:t>以上</w:t>
      </w:r>
      <w:r>
        <w:rPr>
          <w:rFonts w:hint="eastAsia" w:ascii="方正仿宋_GBK" w:hAnsi="方正仿宋_GBK" w:eastAsia="方正仿宋_GBK" w:cs="方正仿宋_GBK"/>
          <w:b w:val="0"/>
          <w:bCs w:val="0"/>
          <w:color w:val="auto"/>
          <w:sz w:val="32"/>
          <w:szCs w:val="32"/>
          <w:highlight w:val="none"/>
          <w:lang w:eastAsia="zh-CN"/>
        </w:rPr>
        <w:t>。</w:t>
      </w:r>
      <w:r>
        <w:rPr>
          <w:rFonts w:hint="eastAsia" w:ascii="方正仿宋_GBK" w:hAnsi="方正仿宋_GBK" w:eastAsia="方正仿宋_GBK" w:cs="方正仿宋_GBK"/>
          <w:b w:val="0"/>
          <w:bCs w:val="0"/>
          <w:color w:val="auto"/>
          <w:sz w:val="32"/>
          <w:szCs w:val="32"/>
          <w:highlight w:val="none"/>
        </w:rPr>
        <w:t>2025年</w:t>
      </w:r>
      <w:r>
        <w:rPr>
          <w:rFonts w:hint="eastAsia" w:ascii="方正仿宋_GBK" w:hAnsi="方正仿宋_GBK" w:eastAsia="方正仿宋_GBK" w:cs="方正仿宋_GBK"/>
          <w:b w:val="0"/>
          <w:bCs w:val="0"/>
          <w:color w:val="auto"/>
          <w:sz w:val="32"/>
          <w:szCs w:val="32"/>
          <w:highlight w:val="none"/>
          <w:lang w:eastAsia="zh-CN"/>
        </w:rPr>
        <w:t>度</w:t>
      </w:r>
      <w:r>
        <w:rPr>
          <w:rFonts w:hint="eastAsia" w:ascii="方正仿宋_GBK" w:hAnsi="方正仿宋_GBK" w:eastAsia="方正仿宋_GBK" w:cs="方正仿宋_GBK"/>
          <w:b w:val="0"/>
          <w:bCs w:val="0"/>
          <w:color w:val="auto"/>
          <w:sz w:val="32"/>
          <w:szCs w:val="32"/>
          <w:highlight w:val="none"/>
        </w:rPr>
        <w:t>，我</w:t>
      </w:r>
      <w:r>
        <w:rPr>
          <w:rFonts w:hint="eastAsia" w:ascii="方正仿宋_GBK" w:hAnsi="方正仿宋_GBK" w:eastAsia="方正仿宋_GBK" w:cs="方正仿宋_GBK"/>
          <w:b w:val="0"/>
          <w:bCs w:val="0"/>
          <w:color w:val="auto"/>
          <w:sz w:val="32"/>
          <w:szCs w:val="32"/>
          <w:highlight w:val="none"/>
          <w:lang w:val="en-US" w:eastAsia="zh-CN"/>
        </w:rPr>
        <w:t>大</w:t>
      </w:r>
      <w:r>
        <w:rPr>
          <w:rFonts w:hint="eastAsia" w:ascii="方正仿宋_GBK" w:hAnsi="方正仿宋_GBK" w:eastAsia="方正仿宋_GBK" w:cs="方正仿宋_GBK"/>
          <w:b w:val="0"/>
          <w:bCs w:val="0"/>
          <w:color w:val="auto"/>
          <w:sz w:val="32"/>
          <w:szCs w:val="32"/>
          <w:highlight w:val="none"/>
        </w:rPr>
        <w:t>队共编报该类项目1个，全年预算</w:t>
      </w:r>
      <w:r>
        <w:rPr>
          <w:rFonts w:hint="eastAsia" w:ascii="方正仿宋_GBK" w:hAnsi="方正仿宋_GBK" w:eastAsia="方正仿宋_GBK" w:cs="方正仿宋_GBK"/>
          <w:b w:val="0"/>
          <w:bCs w:val="0"/>
          <w:color w:val="auto"/>
          <w:sz w:val="32"/>
          <w:szCs w:val="32"/>
          <w:highlight w:val="none"/>
          <w:lang w:val="en-US" w:eastAsia="zh-CN"/>
        </w:rPr>
        <w:t>34.28</w:t>
      </w:r>
      <w:r>
        <w:rPr>
          <w:rFonts w:hint="eastAsia" w:ascii="方正仿宋_GBK" w:hAnsi="方正仿宋_GBK" w:eastAsia="方正仿宋_GBK" w:cs="方正仿宋_GBK"/>
          <w:b w:val="0"/>
          <w:bCs w:val="0"/>
          <w:color w:val="auto"/>
          <w:sz w:val="32"/>
          <w:szCs w:val="32"/>
          <w:highlight w:val="none"/>
        </w:rPr>
        <w:t>万元，全年实际支出</w:t>
      </w:r>
      <w:r>
        <w:rPr>
          <w:rFonts w:hint="eastAsia" w:ascii="方正仿宋_GBK" w:hAnsi="方正仿宋_GBK" w:eastAsia="方正仿宋_GBK" w:cs="方正仿宋_GBK"/>
          <w:b w:val="0"/>
          <w:bCs w:val="0"/>
          <w:color w:val="auto"/>
          <w:sz w:val="32"/>
          <w:szCs w:val="32"/>
          <w:highlight w:val="none"/>
          <w:lang w:val="en-US" w:eastAsia="zh-CN"/>
        </w:rPr>
        <w:t>34.28</w:t>
      </w:r>
      <w:r>
        <w:rPr>
          <w:rFonts w:hint="eastAsia" w:ascii="方正仿宋_GBK" w:hAnsi="方正仿宋_GBK" w:eastAsia="方正仿宋_GBK" w:cs="方正仿宋_GBK"/>
          <w:b w:val="0"/>
          <w:bCs w:val="0"/>
          <w:color w:val="auto"/>
          <w:sz w:val="32"/>
          <w:szCs w:val="32"/>
          <w:highlight w:val="none"/>
        </w:rPr>
        <w:t>万元，预算执行率</w:t>
      </w:r>
      <w:r>
        <w:rPr>
          <w:rFonts w:hint="eastAsia" w:ascii="方正仿宋_GBK" w:hAnsi="方正仿宋_GBK" w:eastAsia="方正仿宋_GBK" w:cs="方正仿宋_GBK"/>
          <w:b w:val="0"/>
          <w:bCs w:val="0"/>
          <w:color w:val="auto"/>
          <w:sz w:val="32"/>
          <w:szCs w:val="32"/>
          <w:highlight w:val="none"/>
          <w:lang w:val="en-US" w:eastAsia="zh-CN"/>
        </w:rPr>
        <w:t>100</w:t>
      </w:r>
      <w:r>
        <w:rPr>
          <w:rFonts w:hint="eastAsia" w:ascii="方正仿宋_GBK" w:hAnsi="方正仿宋_GBK" w:eastAsia="方正仿宋_GBK" w:cs="方正仿宋_GBK"/>
          <w:b w:val="0"/>
          <w:bCs w:val="0"/>
          <w:color w:val="auto"/>
          <w:sz w:val="32"/>
          <w:szCs w:val="32"/>
          <w:highlight w:val="none"/>
        </w:rPr>
        <w:t>%。项目绩效目标完成情况：</w:t>
      </w:r>
      <w:r>
        <w:rPr>
          <w:rFonts w:hint="eastAsia" w:ascii="方正仿宋_GBK" w:hAnsi="方正仿宋_GBK" w:eastAsia="方正仿宋_GBK" w:cs="方正仿宋_GBK"/>
          <w:b w:val="0"/>
          <w:bCs w:val="0"/>
          <w:color w:val="auto"/>
          <w:sz w:val="32"/>
          <w:szCs w:val="32"/>
          <w:highlight w:val="none"/>
          <w:lang w:val="en-US" w:eastAsia="zh-CN"/>
        </w:rPr>
        <w:t>严格按标准保障</w:t>
      </w:r>
      <w:r>
        <w:rPr>
          <w:rFonts w:hint="eastAsia" w:ascii="方正仿宋_GBK" w:hAnsi="方正仿宋_GBK" w:eastAsia="方正仿宋_GBK" w:cs="方正仿宋_GBK"/>
          <w:b w:val="0"/>
          <w:bCs w:val="0"/>
          <w:color w:val="auto"/>
          <w:sz w:val="32"/>
          <w:szCs w:val="32"/>
          <w:highlight w:val="none"/>
        </w:rPr>
        <w:t>伙食，确保</w:t>
      </w:r>
      <w:r>
        <w:rPr>
          <w:rFonts w:hint="eastAsia" w:ascii="方正仿宋_GBK" w:hAnsi="方正仿宋_GBK" w:eastAsia="方正仿宋_GBK" w:cs="方正仿宋_GBK"/>
          <w:b w:val="0"/>
          <w:bCs w:val="0"/>
          <w:color w:val="auto"/>
          <w:sz w:val="32"/>
          <w:szCs w:val="32"/>
          <w:highlight w:val="none"/>
          <w:lang w:val="en-US" w:eastAsia="zh-CN"/>
        </w:rPr>
        <w:t>队伍消防救援人员</w:t>
      </w:r>
      <w:r>
        <w:rPr>
          <w:rFonts w:hint="eastAsia" w:ascii="方正仿宋_GBK" w:hAnsi="方正仿宋_GBK" w:eastAsia="方正仿宋_GBK" w:cs="方正仿宋_GBK"/>
          <w:b w:val="0"/>
          <w:bCs w:val="0"/>
          <w:color w:val="auto"/>
          <w:sz w:val="32"/>
          <w:szCs w:val="32"/>
          <w:highlight w:val="none"/>
        </w:rPr>
        <w:t>吃</w:t>
      </w:r>
      <w:r>
        <w:rPr>
          <w:rFonts w:hint="eastAsia" w:ascii="方正仿宋_GBK" w:hAnsi="方正仿宋_GBK" w:eastAsia="方正仿宋_GBK" w:cs="方正仿宋_GBK"/>
          <w:b w:val="0"/>
          <w:bCs w:val="0"/>
          <w:color w:val="auto"/>
          <w:sz w:val="32"/>
          <w:szCs w:val="32"/>
          <w:highlight w:val="none"/>
          <w:lang w:val="en-US" w:eastAsia="zh-CN"/>
        </w:rPr>
        <w:t>饱吃好吃出战斗力。</w:t>
      </w:r>
    </w:p>
    <w:p>
      <w:pPr>
        <w:spacing w:line="540" w:lineRule="exact"/>
        <w:ind w:firstLine="600"/>
        <w:outlineLvl w:val="9"/>
        <w:rPr>
          <w:rFonts w:hint="eastAsia" w:ascii="方正仿宋_GBK" w:hAnsi="方正仿宋_GBK" w:eastAsia="方正仿宋_GBK" w:cs="方正仿宋_GBK"/>
          <w:b w:val="0"/>
          <w:bCs w:val="0"/>
          <w:color w:val="auto"/>
          <w:sz w:val="32"/>
          <w:szCs w:val="32"/>
          <w:highlight w:val="none"/>
        </w:rPr>
      </w:pPr>
      <w:bookmarkStart w:id="43" w:name="_Toc2085367815"/>
      <w:r>
        <w:rPr>
          <w:rFonts w:hint="eastAsia" w:ascii="方正仿宋_GBK" w:hAnsi="方正仿宋_GBK" w:eastAsia="方正仿宋_GBK" w:cs="方正仿宋_GBK"/>
          <w:b w:val="0"/>
          <w:bCs w:val="0"/>
          <w:color w:val="auto"/>
          <w:sz w:val="32"/>
          <w:szCs w:val="32"/>
          <w:highlight w:val="none"/>
        </w:rPr>
        <w:t>2．综合性消防救援专项项目</w:t>
      </w:r>
      <w:bookmarkEnd w:id="43"/>
    </w:p>
    <w:p>
      <w:pPr>
        <w:keepNext w:val="0"/>
        <w:keepLines w:val="0"/>
        <w:pageBreakBefore w:val="0"/>
        <w:wordWrap/>
        <w:overflowPunct w:val="0"/>
        <w:topLinePunct w:val="0"/>
        <w:bidi w:val="0"/>
        <w:spacing w:line="600" w:lineRule="exact"/>
        <w:ind w:left="0" w:right="0" w:firstLine="640" w:firstLineChars="200"/>
        <w:jc w:val="both"/>
        <w:textAlignment w:val="baseline"/>
        <w:outlineLvl w:val="9"/>
        <w:rPr>
          <w:rFonts w:hint="eastAsia" w:ascii="方正仿宋_GBK" w:hAnsi="方正仿宋_GBK" w:eastAsia="方正仿宋_GBK" w:cs="方正仿宋_GBK"/>
          <w:b w:val="0"/>
          <w:bCs w:val="0"/>
          <w:color w:val="auto"/>
          <w:kern w:val="0"/>
          <w:sz w:val="32"/>
          <w:szCs w:val="32"/>
          <w:highlight w:val="yellow"/>
        </w:rPr>
      </w:pPr>
      <w:r>
        <w:rPr>
          <w:rFonts w:hint="eastAsia" w:ascii="方正仿宋_GBK" w:hAnsi="方正仿宋_GBK" w:eastAsia="方正仿宋_GBK" w:cs="方正仿宋_GBK"/>
          <w:b w:val="0"/>
          <w:bCs w:val="0"/>
          <w:sz w:val="32"/>
          <w:szCs w:val="32"/>
        </w:rPr>
        <w:t>该类项目</w:t>
      </w:r>
      <w:r>
        <w:rPr>
          <w:rFonts w:hint="eastAsia" w:ascii="方正仿宋_GBK" w:hAnsi="方正仿宋_GBK" w:eastAsia="方正仿宋_GBK" w:cs="方正仿宋_GBK"/>
          <w:b w:val="0"/>
          <w:bCs w:val="0"/>
          <w:sz w:val="32"/>
          <w:szCs w:val="32"/>
          <w:lang w:eastAsia="zh-CN"/>
        </w:rPr>
        <w:t>主要</w:t>
      </w:r>
      <w:r>
        <w:rPr>
          <w:rFonts w:hint="eastAsia" w:ascii="方正仿宋_GBK" w:hAnsi="方正仿宋_GBK" w:eastAsia="方正仿宋_GBK" w:cs="方正仿宋_GBK"/>
          <w:b w:val="0"/>
          <w:bCs w:val="0"/>
          <w:sz w:val="32"/>
          <w:szCs w:val="32"/>
        </w:rPr>
        <w:t>为政府专职消防员经费地方财政专项资金。2025年</w:t>
      </w:r>
      <w:r>
        <w:rPr>
          <w:rFonts w:hint="eastAsia" w:ascii="方正仿宋_GBK" w:hAnsi="方正仿宋_GBK" w:eastAsia="方正仿宋_GBK" w:cs="方正仿宋_GBK"/>
          <w:b w:val="0"/>
          <w:bCs w:val="0"/>
          <w:sz w:val="32"/>
          <w:szCs w:val="32"/>
          <w:lang w:eastAsia="zh-CN"/>
        </w:rPr>
        <w:t>度</w:t>
      </w:r>
      <w:r>
        <w:rPr>
          <w:rFonts w:hint="eastAsia" w:ascii="方正仿宋_GBK" w:hAnsi="方正仿宋_GBK" w:eastAsia="方正仿宋_GBK" w:cs="方正仿宋_GBK"/>
          <w:b w:val="0"/>
          <w:bCs w:val="0"/>
          <w:sz w:val="32"/>
          <w:szCs w:val="32"/>
        </w:rPr>
        <w:t>我</w:t>
      </w:r>
      <w:r>
        <w:rPr>
          <w:rFonts w:hint="eastAsia" w:ascii="方正仿宋_GBK" w:hAnsi="方正仿宋_GBK" w:eastAsia="方正仿宋_GBK" w:cs="方正仿宋_GBK"/>
          <w:b w:val="0"/>
          <w:bCs w:val="0"/>
          <w:sz w:val="32"/>
          <w:szCs w:val="32"/>
          <w:lang w:val="en-US" w:eastAsia="zh-CN"/>
        </w:rPr>
        <w:t>大</w:t>
      </w:r>
      <w:r>
        <w:rPr>
          <w:rFonts w:hint="eastAsia" w:ascii="方正仿宋_GBK" w:hAnsi="方正仿宋_GBK" w:eastAsia="方正仿宋_GBK" w:cs="方正仿宋_GBK"/>
          <w:b w:val="0"/>
          <w:bCs w:val="0"/>
          <w:sz w:val="32"/>
          <w:szCs w:val="32"/>
        </w:rPr>
        <w:t>队共编报该类项目1个，全年预算</w:t>
      </w:r>
      <w:r>
        <w:rPr>
          <w:rFonts w:hint="eastAsia" w:ascii="方正仿宋_GBK" w:hAnsi="方正仿宋_GBK" w:eastAsia="方正仿宋_GBK" w:cs="方正仿宋_GBK"/>
          <w:b w:val="0"/>
          <w:bCs w:val="0"/>
          <w:sz w:val="32"/>
          <w:szCs w:val="32"/>
          <w:lang w:val="en-US" w:eastAsia="zh-CN"/>
        </w:rPr>
        <w:t>690.07</w:t>
      </w:r>
      <w:r>
        <w:rPr>
          <w:rFonts w:hint="eastAsia" w:ascii="方正仿宋_GBK" w:hAnsi="方正仿宋_GBK" w:eastAsia="方正仿宋_GBK" w:cs="方正仿宋_GBK"/>
          <w:b w:val="0"/>
          <w:bCs w:val="0"/>
          <w:sz w:val="32"/>
          <w:szCs w:val="32"/>
        </w:rPr>
        <w:t>万元，全年实际支出</w:t>
      </w:r>
      <w:r>
        <w:rPr>
          <w:rFonts w:hint="eastAsia" w:ascii="方正仿宋_GBK" w:hAnsi="方正仿宋_GBK" w:eastAsia="方正仿宋_GBK" w:cs="方正仿宋_GBK"/>
          <w:b w:val="0"/>
          <w:bCs w:val="0"/>
          <w:sz w:val="32"/>
          <w:szCs w:val="32"/>
          <w:lang w:val="en-US" w:eastAsia="zh-CN"/>
        </w:rPr>
        <w:t>465.54</w:t>
      </w:r>
      <w:r>
        <w:rPr>
          <w:rFonts w:hint="eastAsia" w:ascii="方正仿宋_GBK" w:hAnsi="方正仿宋_GBK" w:eastAsia="方正仿宋_GBK" w:cs="方正仿宋_GBK"/>
          <w:b w:val="0"/>
          <w:bCs w:val="0"/>
          <w:sz w:val="32"/>
          <w:szCs w:val="32"/>
        </w:rPr>
        <w:t>万元，预算执行率</w:t>
      </w:r>
      <w:r>
        <w:rPr>
          <w:rFonts w:hint="eastAsia" w:ascii="方正仿宋_GBK" w:hAnsi="方正仿宋_GBK" w:eastAsia="方正仿宋_GBK" w:cs="方正仿宋_GBK"/>
          <w:b w:val="0"/>
          <w:bCs w:val="0"/>
          <w:sz w:val="32"/>
          <w:szCs w:val="32"/>
          <w:lang w:val="en-US" w:eastAsia="zh-CN"/>
        </w:rPr>
        <w:t>67.46</w:t>
      </w:r>
      <w:r>
        <w:rPr>
          <w:rFonts w:hint="eastAsia" w:ascii="方正仿宋_GBK" w:hAnsi="方正仿宋_GBK" w:eastAsia="方正仿宋_GBK" w:cs="方正仿宋_GBK"/>
          <w:b w:val="0"/>
          <w:bCs w:val="0"/>
          <w:sz w:val="32"/>
          <w:szCs w:val="32"/>
        </w:rPr>
        <w:t>%。项目有效保障了政府专职消防员经费任务。</w:t>
      </w:r>
    </w:p>
    <w:p>
      <w:pPr>
        <w:spacing w:line="540" w:lineRule="exact"/>
        <w:ind w:firstLine="600"/>
        <w:outlineLvl w:val="9"/>
        <w:rPr>
          <w:rFonts w:hint="eastAsia" w:ascii="方正仿宋_GBK" w:hAnsi="方正仿宋_GBK" w:eastAsia="方正仿宋_GBK" w:cs="方正仿宋_GBK"/>
          <w:b w:val="0"/>
          <w:bCs w:val="0"/>
          <w:color w:val="auto"/>
          <w:sz w:val="32"/>
          <w:szCs w:val="32"/>
          <w:highlight w:val="none"/>
        </w:rPr>
      </w:pPr>
      <w:bookmarkStart w:id="44" w:name="_Toc275427284"/>
      <w:r>
        <w:rPr>
          <w:rFonts w:hint="eastAsia" w:ascii="方正仿宋_GBK" w:hAnsi="方正仿宋_GBK" w:eastAsia="方正仿宋_GBK" w:cs="方正仿宋_GBK"/>
          <w:b w:val="0"/>
          <w:bCs w:val="0"/>
          <w:color w:val="auto"/>
          <w:sz w:val="32"/>
          <w:szCs w:val="32"/>
          <w:highlight w:val="none"/>
        </w:rPr>
        <w:t>3．基础设施建设项目</w:t>
      </w:r>
      <w:bookmarkEnd w:id="44"/>
    </w:p>
    <w:p>
      <w:pPr>
        <w:spacing w:line="540" w:lineRule="exact"/>
        <w:ind w:firstLine="600"/>
        <w:outlineLvl w:val="9"/>
        <w:rPr>
          <w:rFonts w:hint="eastAsia" w:eastAsia="方正仿宋_GBK"/>
          <w:sz w:val="32"/>
          <w:szCs w:val="32"/>
          <w:lang w:val="en-US" w:eastAsia="zh-CN"/>
        </w:rPr>
      </w:pPr>
      <w:r>
        <w:rPr>
          <w:rFonts w:hint="eastAsia" w:ascii="方正仿宋_GBK" w:hAnsi="方正仿宋_GBK" w:eastAsia="方正仿宋_GBK" w:cs="方正仿宋_GBK"/>
          <w:b w:val="0"/>
          <w:bCs w:val="0"/>
          <w:sz w:val="32"/>
          <w:szCs w:val="32"/>
        </w:rPr>
        <w:t>该类项目主要是地方财政安排安平</w:t>
      </w:r>
      <w:r>
        <w:rPr>
          <w:rFonts w:hint="eastAsia" w:ascii="方正仿宋_GBK" w:hAnsi="方正仿宋_GBK" w:eastAsia="方正仿宋_GBK" w:cs="方正仿宋_GBK"/>
          <w:b w:val="0"/>
          <w:bCs w:val="0"/>
          <w:sz w:val="32"/>
          <w:szCs w:val="32"/>
          <w:lang w:val="en-US" w:eastAsia="zh-CN"/>
        </w:rPr>
        <w:t>政府专职</w:t>
      </w:r>
      <w:r>
        <w:rPr>
          <w:rFonts w:hint="eastAsia" w:ascii="方正仿宋_GBK" w:hAnsi="方正仿宋_GBK" w:eastAsia="方正仿宋_GBK" w:cs="方正仿宋_GBK"/>
          <w:b w:val="0"/>
          <w:bCs w:val="0"/>
          <w:sz w:val="32"/>
          <w:szCs w:val="32"/>
        </w:rPr>
        <w:t>消防站二期改造项目，为提</w:t>
      </w:r>
      <w:r>
        <w:rPr>
          <w:rFonts w:hint="eastAsia" w:ascii="方正仿宋_GBK" w:hAnsi="方正仿宋_GBK" w:eastAsia="方正仿宋_GBK" w:cs="方正仿宋_GBK"/>
          <w:b w:val="0"/>
          <w:bCs w:val="0"/>
          <w:sz w:val="32"/>
          <w:szCs w:val="32"/>
          <w:lang w:val="en-US" w:eastAsia="zh-CN"/>
        </w:rPr>
        <w:t>升安仁县安平镇</w:t>
      </w:r>
      <w:r>
        <w:rPr>
          <w:rFonts w:hint="eastAsia" w:ascii="方正仿宋_GBK" w:hAnsi="方正仿宋_GBK" w:eastAsia="方正仿宋_GBK" w:cs="方正仿宋_GBK"/>
          <w:b w:val="0"/>
          <w:bCs w:val="0"/>
          <w:sz w:val="32"/>
          <w:szCs w:val="32"/>
        </w:rPr>
        <w:t>各</w:t>
      </w:r>
      <w:r>
        <w:rPr>
          <w:rFonts w:hint="eastAsia" w:ascii="方正仿宋_GBK" w:hAnsi="方正仿宋_GBK" w:eastAsia="方正仿宋_GBK" w:cs="方正仿宋_GBK"/>
          <w:b w:val="0"/>
          <w:bCs w:val="0"/>
          <w:sz w:val="32"/>
          <w:szCs w:val="32"/>
          <w:lang w:val="en-US" w:eastAsia="zh-CN"/>
        </w:rPr>
        <w:t>乡镇</w:t>
      </w:r>
      <w:r>
        <w:rPr>
          <w:rFonts w:hint="eastAsia" w:ascii="方正仿宋_GBK" w:hAnsi="方正仿宋_GBK" w:eastAsia="方正仿宋_GBK" w:cs="方正仿宋_GBK"/>
          <w:b w:val="0"/>
          <w:bCs w:val="0"/>
          <w:sz w:val="32"/>
          <w:szCs w:val="32"/>
        </w:rPr>
        <w:t>消防综合应急救援和战勤保障能力争取的专项资金。2025年</w:t>
      </w:r>
      <w:r>
        <w:rPr>
          <w:rFonts w:hint="eastAsia" w:ascii="方正仿宋_GBK" w:hAnsi="方正仿宋_GBK" w:eastAsia="方正仿宋_GBK" w:cs="方正仿宋_GBK"/>
          <w:b w:val="0"/>
          <w:bCs w:val="0"/>
          <w:sz w:val="32"/>
          <w:szCs w:val="32"/>
          <w:lang w:eastAsia="zh-CN"/>
        </w:rPr>
        <w:t>度</w:t>
      </w:r>
      <w:r>
        <w:rPr>
          <w:rFonts w:hint="eastAsia" w:ascii="方正仿宋_GBK" w:hAnsi="方正仿宋_GBK" w:eastAsia="方正仿宋_GBK" w:cs="方正仿宋_GBK"/>
          <w:b w:val="0"/>
          <w:bCs w:val="0"/>
          <w:sz w:val="32"/>
          <w:szCs w:val="32"/>
        </w:rPr>
        <w:t>，我</w:t>
      </w:r>
      <w:r>
        <w:rPr>
          <w:rFonts w:hint="eastAsia" w:ascii="方正仿宋_GBK" w:hAnsi="方正仿宋_GBK" w:eastAsia="方正仿宋_GBK" w:cs="方正仿宋_GBK"/>
          <w:b w:val="0"/>
          <w:bCs w:val="0"/>
          <w:sz w:val="32"/>
          <w:szCs w:val="32"/>
          <w:lang w:val="en-US" w:eastAsia="zh-CN"/>
        </w:rPr>
        <w:t>大</w:t>
      </w:r>
      <w:r>
        <w:rPr>
          <w:rFonts w:hint="eastAsia" w:ascii="方正仿宋_GBK" w:hAnsi="方正仿宋_GBK" w:eastAsia="方正仿宋_GBK" w:cs="方正仿宋_GBK"/>
          <w:b w:val="0"/>
          <w:bCs w:val="0"/>
          <w:sz w:val="32"/>
          <w:szCs w:val="32"/>
        </w:rPr>
        <w:t>队共编报该类项目</w:t>
      </w:r>
      <w:r>
        <w:rPr>
          <w:rFonts w:hint="eastAsia" w:ascii="方正仿宋_GBK" w:hAnsi="方正仿宋_GBK" w:eastAsia="方正仿宋_GBK" w:cs="方正仿宋_GBK"/>
          <w:b w:val="0"/>
          <w:bCs w:val="0"/>
          <w:sz w:val="32"/>
          <w:szCs w:val="32"/>
          <w:lang w:val="en-US" w:eastAsia="zh-CN"/>
        </w:rPr>
        <w:t>1</w:t>
      </w:r>
      <w:r>
        <w:rPr>
          <w:rFonts w:hint="eastAsia" w:ascii="方正仿宋_GBK" w:hAnsi="方正仿宋_GBK" w:eastAsia="方正仿宋_GBK" w:cs="方正仿宋_GBK"/>
          <w:b w:val="0"/>
          <w:bCs w:val="0"/>
          <w:sz w:val="32"/>
          <w:szCs w:val="32"/>
        </w:rPr>
        <w:t>个，全年预算</w:t>
      </w:r>
      <w:r>
        <w:rPr>
          <w:rFonts w:hint="eastAsia" w:ascii="方正仿宋_GBK" w:hAnsi="方正仿宋_GBK" w:eastAsia="方正仿宋_GBK" w:cs="方正仿宋_GBK"/>
          <w:b w:val="0"/>
          <w:bCs w:val="0"/>
          <w:sz w:val="32"/>
          <w:szCs w:val="32"/>
          <w:lang w:val="en-US" w:eastAsia="zh-CN"/>
        </w:rPr>
        <w:t>60</w:t>
      </w:r>
      <w:r>
        <w:rPr>
          <w:rFonts w:hint="eastAsia" w:ascii="方正仿宋_GBK" w:hAnsi="方正仿宋_GBK" w:eastAsia="方正仿宋_GBK" w:cs="方正仿宋_GBK"/>
          <w:b w:val="0"/>
          <w:bCs w:val="0"/>
          <w:sz w:val="32"/>
          <w:szCs w:val="32"/>
        </w:rPr>
        <w:t>万元，全年实际支出</w:t>
      </w:r>
      <w:r>
        <w:rPr>
          <w:rFonts w:hint="eastAsia" w:ascii="方正仿宋_GBK" w:hAnsi="方正仿宋_GBK" w:eastAsia="方正仿宋_GBK" w:cs="方正仿宋_GBK"/>
          <w:b w:val="0"/>
          <w:bCs w:val="0"/>
          <w:sz w:val="32"/>
          <w:szCs w:val="32"/>
          <w:lang w:val="en-US" w:eastAsia="zh-CN"/>
        </w:rPr>
        <w:t>0</w:t>
      </w:r>
      <w:r>
        <w:rPr>
          <w:rFonts w:hint="eastAsia" w:ascii="方正仿宋_GBK" w:hAnsi="方正仿宋_GBK" w:eastAsia="方正仿宋_GBK" w:cs="方正仿宋_GBK"/>
          <w:b w:val="0"/>
          <w:bCs w:val="0"/>
          <w:sz w:val="32"/>
          <w:szCs w:val="32"/>
        </w:rPr>
        <w:t>万元，预算执行率</w:t>
      </w:r>
      <w:r>
        <w:rPr>
          <w:rFonts w:hint="eastAsia" w:ascii="方正仿宋_GBK" w:hAnsi="方正仿宋_GBK" w:eastAsia="方正仿宋_GBK" w:cs="方正仿宋_GBK"/>
          <w:b w:val="0"/>
          <w:bCs w:val="0"/>
          <w:sz w:val="32"/>
          <w:szCs w:val="32"/>
          <w:lang w:val="en-US" w:eastAsia="zh-CN"/>
        </w:rPr>
        <w:t>0</w:t>
      </w:r>
      <w:r>
        <w:rPr>
          <w:rFonts w:hint="eastAsia" w:ascii="方正仿宋_GBK" w:hAnsi="方正仿宋_GBK" w:eastAsia="方正仿宋_GBK" w:cs="方正仿宋_GBK"/>
          <w:b w:val="0"/>
          <w:bCs w:val="0"/>
          <w:sz w:val="32"/>
          <w:szCs w:val="32"/>
        </w:rPr>
        <w:t>%。存在的问题及原因：因项目正在走采购程序，尚未完成支付，</w:t>
      </w:r>
      <w:r>
        <w:rPr>
          <w:rFonts w:hint="eastAsia" w:ascii="方正仿宋_GBK" w:hAnsi="方正仿宋_GBK" w:eastAsia="方正仿宋_GBK" w:cs="方正仿宋_GBK"/>
          <w:b w:val="0"/>
          <w:bCs w:val="0"/>
          <w:sz w:val="32"/>
          <w:szCs w:val="32"/>
          <w:lang w:eastAsia="zh-CN"/>
        </w:rPr>
        <w:t>导致</w:t>
      </w:r>
      <w:r>
        <w:rPr>
          <w:rFonts w:hint="eastAsia" w:ascii="方正仿宋_GBK" w:hAnsi="方正仿宋_GBK" w:eastAsia="方正仿宋_GBK" w:cs="方正仿宋_GBK"/>
          <w:b w:val="0"/>
          <w:bCs w:val="0"/>
          <w:sz w:val="32"/>
          <w:szCs w:val="32"/>
        </w:rPr>
        <w:t>项目执行进度滞后</w:t>
      </w:r>
      <w:r>
        <w:rPr>
          <w:rFonts w:hint="eastAsia" w:ascii="方正仿宋_GBK" w:hAnsi="方正仿宋_GBK" w:eastAsia="方正仿宋_GBK" w:cs="方正仿宋_GBK"/>
          <w:b w:val="0"/>
          <w:bCs w:val="0"/>
          <w:sz w:val="32"/>
          <w:szCs w:val="32"/>
          <w:lang w:eastAsia="zh-CN"/>
        </w:rPr>
        <w:t>。</w:t>
      </w:r>
      <w:r>
        <w:rPr>
          <w:rFonts w:hint="eastAsia" w:ascii="方正仿宋_GBK" w:hAnsi="方正仿宋_GBK" w:eastAsia="方正仿宋_GBK" w:cs="方正仿宋_GBK"/>
          <w:b w:val="0"/>
          <w:bCs w:val="0"/>
          <w:sz w:val="32"/>
          <w:szCs w:val="32"/>
          <w:lang w:val="en-US" w:eastAsia="zh-CN"/>
        </w:rPr>
        <w:t>下一步改进措施：加强项目管理，</w:t>
      </w:r>
      <w:r>
        <w:rPr>
          <w:rFonts w:hint="eastAsia" w:ascii="方正仿宋_GBK" w:hAnsi="方正仿宋_GBK" w:eastAsia="方正仿宋_GBK" w:cs="方正仿宋_GBK"/>
          <w:b w:val="0"/>
          <w:bCs w:val="0"/>
          <w:sz w:val="32"/>
          <w:szCs w:val="32"/>
        </w:rPr>
        <w:t>规范项目管控；通过</w:t>
      </w:r>
      <w:r>
        <w:rPr>
          <w:rFonts w:hint="eastAsia" w:ascii="方正仿宋_GBK" w:hAnsi="方正仿宋_GBK" w:eastAsia="方正仿宋_GBK" w:cs="方正仿宋_GBK"/>
          <w:b w:val="0"/>
          <w:bCs w:val="0"/>
          <w:sz w:val="32"/>
          <w:szCs w:val="32"/>
          <w:lang w:eastAsia="zh-CN"/>
        </w:rPr>
        <w:t>“</w:t>
      </w:r>
      <w:r>
        <w:rPr>
          <w:rFonts w:hint="eastAsia" w:ascii="方正仿宋_GBK" w:hAnsi="方正仿宋_GBK" w:eastAsia="方正仿宋_GBK" w:cs="方正仿宋_GBK"/>
          <w:b w:val="0"/>
          <w:bCs w:val="0"/>
          <w:sz w:val="32"/>
          <w:szCs w:val="32"/>
        </w:rPr>
        <w:t>绿色通道”</w:t>
      </w:r>
      <w:r>
        <w:rPr>
          <w:rFonts w:hint="eastAsia" w:ascii="方正仿宋_GBK" w:hAnsi="方正仿宋_GBK" w:eastAsia="方正仿宋_GBK" w:cs="方正仿宋_GBK"/>
          <w:b w:val="0"/>
          <w:bCs w:val="0"/>
          <w:sz w:val="32"/>
          <w:szCs w:val="32"/>
          <w:lang w:eastAsia="zh-CN"/>
        </w:rPr>
        <w:t>“</w:t>
      </w:r>
      <w:r>
        <w:rPr>
          <w:rFonts w:hint="eastAsia" w:ascii="方正仿宋_GBK" w:hAnsi="方正仿宋_GBK" w:eastAsia="方正仿宋_GBK" w:cs="方正仿宋_GBK"/>
          <w:b w:val="0"/>
          <w:bCs w:val="0"/>
          <w:sz w:val="32"/>
          <w:szCs w:val="32"/>
        </w:rPr>
        <w:t>联办并办”等方式提高项目审批手续办理效率</w:t>
      </w:r>
      <w:r>
        <w:rPr>
          <w:rFonts w:hint="eastAsia" w:ascii="方正仿宋_GBK" w:hAnsi="方正仿宋_GBK" w:eastAsia="方正仿宋_GBK" w:cs="方正仿宋_GBK"/>
          <w:b w:val="0"/>
          <w:bCs w:val="0"/>
          <w:sz w:val="32"/>
          <w:szCs w:val="32"/>
          <w:lang w:eastAsia="zh-CN"/>
        </w:rPr>
        <w:t>；</w:t>
      </w:r>
      <w:r>
        <w:rPr>
          <w:rFonts w:hint="eastAsia" w:ascii="方正仿宋_GBK" w:hAnsi="方正仿宋_GBK" w:eastAsia="方正仿宋_GBK" w:cs="方正仿宋_GBK"/>
          <w:b w:val="0"/>
          <w:bCs w:val="0"/>
          <w:sz w:val="32"/>
          <w:szCs w:val="32"/>
          <w:lang w:val="en-US" w:eastAsia="zh-CN"/>
        </w:rPr>
        <w:t>加强对项目全过程管控，每季度通报情况，切实加强</w:t>
      </w:r>
      <w:r>
        <w:rPr>
          <w:rFonts w:hint="eastAsia" w:eastAsia="方正仿宋_GBK"/>
          <w:sz w:val="32"/>
          <w:szCs w:val="32"/>
          <w:lang w:val="en-US" w:eastAsia="zh-CN"/>
        </w:rPr>
        <w:t>对项目资金的监督管理，及时按合同约定支付进度款项，合理加快项目建设经费预算执行进度。</w:t>
      </w:r>
    </w:p>
    <w:p>
      <w:pPr>
        <w:spacing w:line="540" w:lineRule="exact"/>
        <w:ind w:firstLine="600"/>
        <w:outlineLvl w:val="9"/>
        <w:rPr>
          <w:rFonts w:ascii="Times New Roman" w:hAnsi="Times New Roman" w:eastAsia="方正仿宋_GBK"/>
          <w:b w:val="0"/>
          <w:bCs w:val="0"/>
          <w:color w:val="auto"/>
          <w:sz w:val="32"/>
          <w:szCs w:val="32"/>
          <w:highlight w:val="none"/>
        </w:rPr>
      </w:pPr>
      <w:bookmarkStart w:id="45" w:name="_Toc573521799"/>
      <w:r>
        <w:rPr>
          <w:rFonts w:hint="eastAsia" w:ascii="Times New Roman" w:hAnsi="Times New Roman" w:eastAsia="方正仿宋_GBK"/>
          <w:b w:val="0"/>
          <w:bCs w:val="0"/>
          <w:color w:val="auto"/>
          <w:sz w:val="32"/>
          <w:szCs w:val="32"/>
          <w:highlight w:val="none"/>
          <w:lang w:val="en-US" w:eastAsia="zh-CN"/>
        </w:rPr>
        <w:t>4</w:t>
      </w:r>
      <w:r>
        <w:rPr>
          <w:rFonts w:ascii="Times New Roman" w:hAnsi="Times New Roman" w:eastAsia="方正仿宋_GBK"/>
          <w:b w:val="0"/>
          <w:bCs w:val="0"/>
          <w:color w:val="auto"/>
          <w:sz w:val="32"/>
          <w:szCs w:val="32"/>
          <w:highlight w:val="none"/>
        </w:rPr>
        <w:t>．装备购置项目</w:t>
      </w:r>
      <w:bookmarkEnd w:id="45"/>
    </w:p>
    <w:p>
      <w:pPr>
        <w:spacing w:line="579" w:lineRule="exact"/>
        <w:ind w:firstLine="640" w:firstLineChars="200"/>
        <w:outlineLvl w:val="9"/>
        <w:rPr>
          <w:rFonts w:hint="eastAsia" w:ascii="方正仿宋_GBK" w:hAnsi="方正仿宋_GBK" w:eastAsia="方正仿宋_GBK" w:cs="方正仿宋_GBK"/>
          <w:b w:val="0"/>
          <w:bCs w:val="0"/>
          <w:sz w:val="32"/>
          <w:szCs w:val="32"/>
          <w:highlight w:val="none"/>
        </w:rPr>
      </w:pPr>
      <w:r>
        <w:rPr>
          <w:rFonts w:hint="eastAsia" w:ascii="方正仿宋_GBK" w:hAnsi="方正仿宋_GBK" w:eastAsia="方正仿宋_GBK" w:cs="方正仿宋_GBK"/>
          <w:b w:val="0"/>
          <w:bCs w:val="0"/>
          <w:sz w:val="32"/>
          <w:szCs w:val="32"/>
        </w:rPr>
        <w:t>该类项目主要是为提升</w:t>
      </w:r>
      <w:r>
        <w:rPr>
          <w:rFonts w:hint="eastAsia" w:ascii="方正仿宋_GBK" w:hAnsi="方正仿宋_GBK" w:eastAsia="方正仿宋_GBK" w:cs="方正仿宋_GBK"/>
          <w:b w:val="0"/>
          <w:bCs w:val="0"/>
          <w:sz w:val="32"/>
          <w:szCs w:val="32"/>
          <w:lang w:val="en-US" w:eastAsia="zh-CN"/>
        </w:rPr>
        <w:t>安仁县</w:t>
      </w:r>
      <w:r>
        <w:rPr>
          <w:rFonts w:hint="eastAsia" w:ascii="方正仿宋_GBK" w:hAnsi="方正仿宋_GBK" w:eastAsia="方正仿宋_GBK" w:cs="方正仿宋_GBK"/>
          <w:b w:val="0"/>
          <w:bCs w:val="0"/>
          <w:sz w:val="32"/>
          <w:szCs w:val="32"/>
        </w:rPr>
        <w:t>消防救援</w:t>
      </w:r>
      <w:r>
        <w:rPr>
          <w:rFonts w:hint="eastAsia" w:ascii="方正仿宋_GBK" w:hAnsi="方正仿宋_GBK" w:eastAsia="方正仿宋_GBK" w:cs="方正仿宋_GBK"/>
          <w:b w:val="0"/>
          <w:bCs w:val="0"/>
          <w:sz w:val="32"/>
          <w:szCs w:val="32"/>
          <w:lang w:val="en-US" w:eastAsia="zh-CN"/>
        </w:rPr>
        <w:t>大队</w:t>
      </w:r>
      <w:r>
        <w:rPr>
          <w:rFonts w:hint="eastAsia" w:ascii="方正仿宋_GBK" w:hAnsi="方正仿宋_GBK" w:eastAsia="方正仿宋_GBK" w:cs="方正仿宋_GBK"/>
          <w:b w:val="0"/>
          <w:bCs w:val="0"/>
          <w:sz w:val="32"/>
          <w:szCs w:val="32"/>
        </w:rPr>
        <w:t>装备现代化水平，根据国家消防救援局装备建设规划及我</w:t>
      </w:r>
      <w:r>
        <w:rPr>
          <w:rFonts w:hint="eastAsia" w:ascii="方正仿宋_GBK" w:hAnsi="方正仿宋_GBK" w:eastAsia="方正仿宋_GBK" w:cs="方正仿宋_GBK"/>
          <w:b w:val="0"/>
          <w:bCs w:val="0"/>
          <w:sz w:val="32"/>
          <w:szCs w:val="32"/>
          <w:lang w:val="en-US" w:eastAsia="zh-CN"/>
        </w:rPr>
        <w:t>县</w:t>
      </w:r>
      <w:r>
        <w:rPr>
          <w:rFonts w:hint="eastAsia" w:ascii="方正仿宋_GBK" w:hAnsi="方正仿宋_GBK" w:eastAsia="方正仿宋_GBK" w:cs="方正仿宋_GBK"/>
          <w:b w:val="0"/>
          <w:bCs w:val="0"/>
          <w:sz w:val="32"/>
          <w:szCs w:val="32"/>
        </w:rPr>
        <w:t>实际需求，用于购置消防车辆、抢险救援器材、个人防护装备等的专项资金</w:t>
      </w:r>
      <w:r>
        <w:rPr>
          <w:rFonts w:hint="eastAsia" w:ascii="方正仿宋_GBK" w:hAnsi="方正仿宋_GBK" w:eastAsia="方正仿宋_GBK" w:cs="方正仿宋_GBK"/>
          <w:b w:val="0"/>
          <w:bCs w:val="0"/>
          <w:sz w:val="32"/>
          <w:szCs w:val="32"/>
          <w:lang w:eastAsia="zh-CN"/>
        </w:rPr>
        <w:t>。</w:t>
      </w:r>
      <w:r>
        <w:rPr>
          <w:rFonts w:hint="eastAsia" w:ascii="方正仿宋_GBK" w:hAnsi="方正仿宋_GBK" w:eastAsia="方正仿宋_GBK" w:cs="方正仿宋_GBK"/>
          <w:b w:val="0"/>
          <w:bCs w:val="0"/>
          <w:sz w:val="32"/>
          <w:szCs w:val="32"/>
        </w:rPr>
        <w:t>2025</w:t>
      </w:r>
      <w:r>
        <w:rPr>
          <w:rFonts w:hint="eastAsia" w:ascii="方正仿宋_GBK" w:hAnsi="方正仿宋_GBK" w:eastAsia="方正仿宋_GBK" w:cs="方正仿宋_GBK"/>
          <w:b w:val="0"/>
          <w:bCs w:val="0"/>
          <w:sz w:val="32"/>
          <w:szCs w:val="32"/>
          <w:highlight w:val="none"/>
        </w:rPr>
        <w:t>年</w:t>
      </w:r>
      <w:r>
        <w:rPr>
          <w:rFonts w:hint="eastAsia" w:ascii="方正仿宋_GBK" w:hAnsi="方正仿宋_GBK" w:eastAsia="方正仿宋_GBK" w:cs="方正仿宋_GBK"/>
          <w:b w:val="0"/>
          <w:bCs w:val="0"/>
          <w:sz w:val="32"/>
          <w:szCs w:val="32"/>
          <w:highlight w:val="none"/>
          <w:lang w:eastAsia="zh-CN"/>
        </w:rPr>
        <w:t>度</w:t>
      </w:r>
      <w:r>
        <w:rPr>
          <w:rFonts w:hint="eastAsia" w:ascii="方正仿宋_GBK" w:hAnsi="方正仿宋_GBK" w:eastAsia="方正仿宋_GBK" w:cs="方正仿宋_GBK"/>
          <w:b w:val="0"/>
          <w:bCs w:val="0"/>
          <w:sz w:val="32"/>
          <w:szCs w:val="32"/>
          <w:highlight w:val="none"/>
        </w:rPr>
        <w:t>我</w:t>
      </w:r>
      <w:r>
        <w:rPr>
          <w:rFonts w:hint="eastAsia" w:ascii="方正仿宋_GBK" w:hAnsi="方正仿宋_GBK" w:eastAsia="方正仿宋_GBK" w:cs="方正仿宋_GBK"/>
          <w:b w:val="0"/>
          <w:bCs w:val="0"/>
          <w:sz w:val="32"/>
          <w:szCs w:val="32"/>
          <w:highlight w:val="none"/>
          <w:lang w:val="en-US" w:eastAsia="zh-CN"/>
        </w:rPr>
        <w:t>大</w:t>
      </w:r>
      <w:r>
        <w:rPr>
          <w:rFonts w:hint="eastAsia" w:ascii="方正仿宋_GBK" w:hAnsi="方正仿宋_GBK" w:eastAsia="方正仿宋_GBK" w:cs="方正仿宋_GBK"/>
          <w:b w:val="0"/>
          <w:bCs w:val="0"/>
          <w:sz w:val="32"/>
          <w:szCs w:val="32"/>
          <w:highlight w:val="none"/>
        </w:rPr>
        <w:t>队共编报该类项目1个，全年预算479.03万元，全年实际支出</w:t>
      </w:r>
      <w:r>
        <w:rPr>
          <w:rFonts w:hint="eastAsia" w:ascii="方正仿宋_GBK" w:hAnsi="方正仿宋_GBK" w:eastAsia="方正仿宋_GBK" w:cs="方正仿宋_GBK"/>
          <w:b w:val="0"/>
          <w:bCs w:val="0"/>
          <w:sz w:val="32"/>
          <w:szCs w:val="32"/>
          <w:highlight w:val="none"/>
          <w:lang w:val="en-US" w:eastAsia="zh-CN"/>
        </w:rPr>
        <w:t>162.53</w:t>
      </w:r>
      <w:r>
        <w:rPr>
          <w:rFonts w:hint="eastAsia" w:ascii="方正仿宋_GBK" w:hAnsi="方正仿宋_GBK" w:eastAsia="方正仿宋_GBK" w:cs="方正仿宋_GBK"/>
          <w:b w:val="0"/>
          <w:bCs w:val="0"/>
          <w:sz w:val="32"/>
          <w:szCs w:val="32"/>
          <w:highlight w:val="none"/>
        </w:rPr>
        <w:t>万元，预算执行率</w:t>
      </w:r>
      <w:r>
        <w:rPr>
          <w:rFonts w:hint="eastAsia" w:ascii="方正仿宋_GBK" w:hAnsi="方正仿宋_GBK" w:eastAsia="方正仿宋_GBK" w:cs="方正仿宋_GBK"/>
          <w:b w:val="0"/>
          <w:bCs w:val="0"/>
          <w:sz w:val="32"/>
          <w:szCs w:val="32"/>
          <w:highlight w:val="none"/>
          <w:lang w:val="en-US" w:eastAsia="zh-CN"/>
        </w:rPr>
        <w:t>33.93</w:t>
      </w:r>
      <w:r>
        <w:rPr>
          <w:rFonts w:hint="eastAsia" w:ascii="方正仿宋_GBK" w:hAnsi="方正仿宋_GBK" w:eastAsia="方正仿宋_GBK" w:cs="方正仿宋_GBK"/>
          <w:b w:val="0"/>
          <w:bCs w:val="0"/>
          <w:sz w:val="32"/>
          <w:szCs w:val="32"/>
          <w:highlight w:val="none"/>
        </w:rPr>
        <w:t>%。</w:t>
      </w:r>
      <w:r>
        <w:rPr>
          <w:rFonts w:hint="eastAsia" w:ascii="方正仿宋_GBK" w:hAnsi="方正仿宋_GBK" w:eastAsia="方正仿宋_GBK" w:cs="方正仿宋_GBK"/>
          <w:b w:val="0"/>
          <w:bCs w:val="0"/>
          <w:color w:val="auto"/>
          <w:kern w:val="0"/>
          <w:sz w:val="32"/>
          <w:szCs w:val="32"/>
          <w:highlight w:val="none"/>
          <w:lang w:val="en-US" w:eastAsia="zh-CN"/>
        </w:rPr>
        <w:t>完成防火灭火、信息通信、特种救援和综合保障装备购置，为队伍履行任务提供了有力的装备支撑</w:t>
      </w:r>
      <w:r>
        <w:rPr>
          <w:rFonts w:hint="eastAsia" w:ascii="方正仿宋_GBK" w:hAnsi="方正仿宋_GBK" w:eastAsia="方正仿宋_GBK" w:cs="方正仿宋_GBK"/>
          <w:b w:val="0"/>
          <w:bCs w:val="0"/>
          <w:color w:val="auto"/>
          <w:kern w:val="0"/>
          <w:sz w:val="32"/>
          <w:szCs w:val="32"/>
          <w:highlight w:val="none"/>
        </w:rPr>
        <w:t>。存在的问题及原因：</w:t>
      </w:r>
      <w:r>
        <w:rPr>
          <w:rFonts w:hint="eastAsia" w:ascii="方正仿宋_GBK" w:hAnsi="方正仿宋_GBK" w:eastAsia="方正仿宋_GBK" w:cs="方正仿宋_GBK"/>
          <w:b w:val="0"/>
          <w:bCs w:val="0"/>
          <w:sz w:val="32"/>
          <w:szCs w:val="32"/>
          <w:highlight w:val="none"/>
        </w:rPr>
        <w:t>装备采购项目</w:t>
      </w:r>
      <w:r>
        <w:rPr>
          <w:rFonts w:hint="default" w:ascii="方正仿宋_GBK" w:hAnsi="方正仿宋_GBK" w:eastAsia="方正仿宋_GBK" w:cs="方正仿宋_GBK"/>
          <w:b w:val="0"/>
          <w:bCs w:val="0"/>
          <w:color w:val="auto"/>
          <w:kern w:val="0"/>
          <w:sz w:val="32"/>
          <w:szCs w:val="32"/>
          <w:highlight w:val="none"/>
          <w:lang w:val="en-US" w:eastAsia="zh-CN"/>
        </w:rPr>
        <w:t>因2025年装备采购计划中，车辆装备总队正在进行结算审计，准备履行付款程序；2024年装备采购计划总队已经履行采购程序，2025年装备采购计划正在履行采购程序，导致项目进展缓慢</w:t>
      </w:r>
      <w:r>
        <w:rPr>
          <w:rFonts w:hint="eastAsia" w:ascii="方正仿宋_GBK" w:hAnsi="方正仿宋_GBK" w:eastAsia="方正仿宋_GBK" w:cs="方正仿宋_GBK"/>
          <w:b w:val="0"/>
          <w:bCs w:val="0"/>
          <w:color w:val="auto"/>
          <w:kern w:val="0"/>
          <w:sz w:val="32"/>
          <w:szCs w:val="32"/>
          <w:highlight w:val="none"/>
          <w:lang w:val="en-US" w:eastAsia="zh-CN"/>
        </w:rPr>
        <w:t>，采购结余资金较大。</w:t>
      </w:r>
      <w:r>
        <w:rPr>
          <w:rFonts w:hint="eastAsia" w:ascii="方正仿宋_GBK" w:hAnsi="方正仿宋_GBK" w:eastAsia="方正仿宋_GBK" w:cs="方正仿宋_GBK"/>
          <w:b w:val="0"/>
          <w:bCs w:val="0"/>
          <w:color w:val="auto"/>
          <w:sz w:val="32"/>
          <w:szCs w:val="32"/>
          <w:highlight w:val="none"/>
          <w:lang w:val="en-US" w:eastAsia="zh-CN"/>
        </w:rPr>
        <w:t>下一步改进措施</w:t>
      </w:r>
      <w:r>
        <w:rPr>
          <w:rFonts w:hint="eastAsia" w:ascii="方正仿宋_GBK" w:hAnsi="方正仿宋_GBK" w:eastAsia="方正仿宋_GBK" w:cs="方正仿宋_GBK"/>
          <w:b w:val="0"/>
          <w:bCs w:val="0"/>
          <w:color w:val="auto"/>
          <w:kern w:val="0"/>
          <w:sz w:val="32"/>
          <w:szCs w:val="32"/>
          <w:highlight w:val="none"/>
        </w:rPr>
        <w:t>：</w:t>
      </w:r>
      <w:r>
        <w:rPr>
          <w:rFonts w:hint="eastAsia" w:ascii="方正仿宋_GBK" w:hAnsi="方正仿宋_GBK" w:eastAsia="方正仿宋_GBK" w:cs="方正仿宋_GBK"/>
          <w:b w:val="0"/>
          <w:bCs w:val="0"/>
          <w:color w:val="auto"/>
          <w:sz w:val="32"/>
          <w:szCs w:val="32"/>
          <w:highlight w:val="none"/>
          <w:lang w:val="en-US" w:eastAsia="zh-CN"/>
        </w:rPr>
        <w:t>加强对项目全过程管控，切实加强对项目资金的监督管理，及时按合同约定支付进度款项，合理加快项目建设经费预算执行进度。</w:t>
      </w:r>
    </w:p>
    <w:p>
      <w:pPr>
        <w:widowControl/>
        <w:spacing w:line="540" w:lineRule="exact"/>
        <w:ind w:firstLine="640" w:firstLineChars="200"/>
        <w:jc w:val="left"/>
        <w:outlineLvl w:val="9"/>
        <w:rPr>
          <w:rFonts w:hint="eastAsia" w:ascii="Times New Roman" w:hAnsi="Times New Roman" w:eastAsia="方正楷体_GBK"/>
          <w:b w:val="0"/>
          <w:bCs/>
          <w:kern w:val="0"/>
          <w:sz w:val="32"/>
          <w:szCs w:val="32"/>
          <w:highlight w:val="none"/>
          <w:lang w:val="en-US" w:eastAsia="zh-CN"/>
        </w:rPr>
      </w:pPr>
      <w:r>
        <w:rPr>
          <w:rFonts w:hint="eastAsia" w:ascii="Times New Roman" w:hAnsi="Times New Roman" w:eastAsia="方正楷体_GBK"/>
          <w:b w:val="0"/>
          <w:bCs/>
          <w:kern w:val="0"/>
          <w:sz w:val="32"/>
          <w:szCs w:val="32"/>
          <w:highlight w:val="none"/>
          <w:lang w:val="en-US" w:eastAsia="zh-CN"/>
        </w:rPr>
        <w:t>（三）部分项目绩效自评表</w:t>
      </w:r>
    </w:p>
    <w:p>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pStyle w:val="2"/>
        <w:rPr>
          <w:rFonts w:hint="eastAsia" w:ascii="方正仿宋_GBK" w:hAnsi="方正仿宋_GBK" w:eastAsia="方正仿宋_GBK" w:cs="方正仿宋_GBK"/>
          <w:b w:val="0"/>
          <w:bCs w:val="0"/>
          <w:color w:val="auto"/>
          <w:sz w:val="32"/>
          <w:szCs w:val="32"/>
          <w:highlight w:val="none"/>
        </w:rPr>
      </w:pPr>
    </w:p>
    <w:p>
      <w:pPr>
        <w:pStyle w:val="2"/>
        <w:ind w:left="0" w:leftChars="0" w:firstLine="0" w:firstLineChars="0"/>
        <w:rPr>
          <w:rFonts w:hint="eastAsia" w:ascii="方正仿宋_GBK" w:hAnsi="方正仿宋_GBK" w:eastAsia="方正仿宋_GBK" w:cs="方正仿宋_GBK"/>
          <w:b w:val="0"/>
          <w:bCs w:val="0"/>
          <w:color w:val="auto"/>
          <w:sz w:val="32"/>
          <w:szCs w:val="32"/>
          <w:highlight w:val="none"/>
        </w:rPr>
      </w:pPr>
    </w:p>
    <w:p>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tbl>
      <w:tblPr>
        <w:tblStyle w:val="11"/>
        <w:tblW w:w="9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130"/>
        <w:gridCol w:w="1056"/>
        <w:gridCol w:w="626"/>
        <w:gridCol w:w="819"/>
        <w:gridCol w:w="1374"/>
        <w:gridCol w:w="863"/>
        <w:gridCol w:w="675"/>
        <w:gridCol w:w="675"/>
        <w:gridCol w:w="731"/>
        <w:gridCol w:w="1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伙食补助费项目绩效自评表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jc w:val="center"/>
        </w:trPr>
        <w:tc>
          <w:tcPr>
            <w:tcW w:w="9528" w:type="dxa"/>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87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郴州支队安仁大队伙食补助费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[225]国家消防救援局</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snapToGrid w:val="0"/>
                <w:color w:val="000000"/>
                <w:kern w:val="0"/>
                <w:sz w:val="14"/>
                <w:szCs w:val="14"/>
                <w:u w:val="none"/>
                <w:lang w:val="en-US" w:eastAsia="zh-CN" w:bidi="ar"/>
              </w:rPr>
              <w:t>安仁县消防救援大队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34.28</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34.28</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34.28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34.28</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34.28</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34.28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本单位基层消防救援，只占实有人数和相应的伙食费标准，规范伙食费支出，在保障本单位基层消防救援指站员每日伙食费的基础上，严格按照《党政机关厉行节约反对浪费条例》，有关要求加强伙食费管理，定期对项目的绩效目标完成情况进行自评，发现目标偏离及时修正，进一步提高基层消防指战员的满足感，获得感。</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ind w:firstLine="360" w:firstLineChars="20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2025年度本单位严格控制成本，较好的完成了指战员伙食保障工作，进一步提高基层消防指战员的满足感，满意度较高。预算完成率100%。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782"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000000" w:sz="4" w:space="0"/>
              <w:left w:val="nil"/>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445"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采购食品、菜品价格优惠、质量较好</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菜品价格符合市场价正常水平，质量较好。</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符合要求</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提高指战员职业认同感、工作效率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指战员伙食待遇得以保障，工作效率得到提高。</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及时保障</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指战员满意度</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396" w:type="dxa"/>
            <w:gridSpan w:val="7"/>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100</w:t>
            </w:r>
          </w:p>
        </w:tc>
        <w:tc>
          <w:tcPr>
            <w:tcW w:w="1782" w:type="dxa"/>
            <w:gridSpan w:val="2"/>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952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pPr>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color w:val="auto"/>
          <w:spacing w:val="5"/>
          <w:sz w:val="31"/>
          <w:szCs w:val="31"/>
          <w:highlight w:val="none"/>
        </w:rPr>
        <w:br w:type="page"/>
      </w:r>
    </w:p>
    <w:tbl>
      <w:tblPr>
        <w:tblStyle w:val="11"/>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7"/>
        <w:gridCol w:w="759"/>
        <w:gridCol w:w="1250"/>
        <w:gridCol w:w="822"/>
        <w:gridCol w:w="932"/>
        <w:gridCol w:w="1162"/>
        <w:gridCol w:w="1397"/>
        <w:gridCol w:w="709"/>
        <w:gridCol w:w="675"/>
        <w:gridCol w:w="162"/>
        <w:gridCol w:w="1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jc w:val="center"/>
        </w:trPr>
        <w:tc>
          <w:tcPr>
            <w:tcW w:w="9538" w:type="dxa"/>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政府专职消防员经费项目绩效自评表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9538" w:type="dxa"/>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1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3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 国家消防救援局</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snapToGrid w:val="0"/>
                <w:color w:val="000000"/>
                <w:kern w:val="0"/>
                <w:sz w:val="14"/>
                <w:szCs w:val="14"/>
                <w:u w:val="none"/>
                <w:lang w:val="en-US" w:eastAsia="zh-CN" w:bidi="ar"/>
              </w:rPr>
              <w:t>安仁县消防救援大队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690.07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690.07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465.54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67.46%</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6.7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690.07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690.07</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ascii="微软雅黑" w:hAnsi="微软雅黑" w:eastAsia="微软雅黑" w:cs="微软雅黑"/>
                <w:i w:val="0"/>
                <w:iCs w:val="0"/>
                <w:caps w:val="0"/>
                <w:color w:val="666666"/>
                <w:spacing w:val="0"/>
                <w:sz w:val="15"/>
                <w:szCs w:val="15"/>
              </w:rPr>
              <w:t>465.54</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年度总体目标</w:t>
            </w: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根据政府专职消防员管理、福利保障相关文件的要求，做好政府专职消防员工资、社保、伙食、被装等保障工作。</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2025年度根据政府专职消防员管理、福利保障相关文件的要求，严格控制了成本，较好的完成了政府专职消防员伙食、被装、雇主责任险等保障工作,满意度较高。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5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225"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000000" w:sz="4" w:space="0"/>
              <w:left w:val="nil"/>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成本完成率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67.46%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12</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因2025年部分被装尾款暂未支付，导致偏差，预计2026年3月支付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2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项目专款专用率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质量验收</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被装验收符合要求</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均符合要求</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5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时效指标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保障及时有效</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增强消防应急保障能力</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政府专职消防员福利待遇有效保障</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保障到位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政府专职消防员满意度</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10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929" w:type="dxa"/>
            <w:gridSpan w:val="7"/>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88.7</w:t>
            </w:r>
          </w:p>
        </w:tc>
        <w:tc>
          <w:tcPr>
            <w:tcW w:w="1225" w:type="dxa"/>
            <w:gridSpan w:val="2"/>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953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pPr>
        <w:pStyle w:val="2"/>
        <w:rPr>
          <w:rFonts w:hint="default" w:ascii="Times New Roman" w:hAnsi="Times New Roman" w:eastAsia="方正仿宋_GBK" w:cs="Times New Roman"/>
          <w:color w:val="auto"/>
          <w:spacing w:val="5"/>
          <w:sz w:val="31"/>
          <w:szCs w:val="31"/>
          <w:highlight w:val="none"/>
        </w:rPr>
      </w:pPr>
    </w:p>
    <w:p>
      <w:pPr>
        <w:pStyle w:val="2"/>
        <w:rPr>
          <w:rFonts w:hint="default" w:ascii="Times New Roman" w:hAnsi="Times New Roman" w:eastAsia="方正仿宋_GBK" w:cs="Times New Roman"/>
          <w:color w:val="auto"/>
          <w:spacing w:val="5"/>
          <w:sz w:val="31"/>
          <w:szCs w:val="31"/>
          <w:highlight w:val="none"/>
        </w:rPr>
      </w:pPr>
    </w:p>
    <w:tbl>
      <w:tblPr>
        <w:tblStyle w:val="11"/>
        <w:tblW w:w="95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0"/>
        <w:gridCol w:w="768"/>
        <w:gridCol w:w="893"/>
        <w:gridCol w:w="770"/>
        <w:gridCol w:w="1095"/>
        <w:gridCol w:w="1033"/>
        <w:gridCol w:w="1629"/>
        <w:gridCol w:w="600"/>
        <w:gridCol w:w="600"/>
        <w:gridCol w:w="718"/>
        <w:gridCol w:w="9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512" w:type="dxa"/>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地方财政安排装备购置项目绩效自评表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512" w:type="dxa"/>
            <w:gridSpan w:val="11"/>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244"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地方财政安排装备购置项目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2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7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 国家消防救援局</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snapToGrid w:val="0"/>
                <w:color w:val="000000"/>
                <w:kern w:val="0"/>
                <w:sz w:val="14"/>
                <w:szCs w:val="14"/>
                <w:u w:val="none"/>
                <w:lang w:val="en-US" w:eastAsia="zh-CN" w:bidi="ar"/>
              </w:rPr>
              <w:t>安仁县消防救援大队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26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479.03</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479.03</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162.53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33.93%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3.4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0.00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0.00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jc w:val="center"/>
        </w:trPr>
        <w:tc>
          <w:tcPr>
            <w:tcW w:w="126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6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479.03</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479.03</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162.53</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31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455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4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4559"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2025年计划车辆装备采购共479.03万元（上年结余款76.84万和25年装备购置150万，火调设备5.19万；上年结转消防车购置款247万元</w:t>
            </w:r>
          </w:p>
        </w:tc>
        <w:tc>
          <w:tcPr>
            <w:tcW w:w="4453"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2025年计划车辆装备采购共479.03万元（上年结余款76.84万和25年装备购置150万，火调设备5.19万；上年结转消防车购置款247万元，实际支出162.53万元，完成率33.9%。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成本控制数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479.03万元</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162.53万元</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6</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default" w:ascii="宋体" w:hAnsi="宋体" w:eastAsia="宋体" w:cs="宋体"/>
                <w:i w:val="0"/>
                <w:iCs w:val="0"/>
                <w:color w:val="000000"/>
                <w:sz w:val="18"/>
                <w:szCs w:val="18"/>
                <w:u w:val="none"/>
                <w:lang w:val="en-US"/>
              </w:rPr>
              <w:t>因2025年装备采购计划中，车辆装备总队正在进行结算审计，准备履行付款程序；2024年装备采购计划总队已经履行采购程序，2025年装备采购计划正在履行采购程序，导致项目进展缓慢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6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数量指标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装备配置标准</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≥1470%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1470.00%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68"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装备验收合格率</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68"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时效指标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项目周期内完成采购</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提升消防救援能力，保护人民的生命财产安全</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8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满足消防指战员救援装备</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68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79.4</w:t>
            </w:r>
          </w:p>
        </w:tc>
        <w:tc>
          <w:tcPr>
            <w:tcW w:w="162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512"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pPr>
        <w:keepNext w:val="0"/>
        <w:keepLines w:val="0"/>
        <w:pageBreakBefore w:val="0"/>
        <w:widowControl/>
        <w:kinsoku w:val="0"/>
        <w:wordWrap/>
        <w:overflowPunct/>
        <w:topLinePunct w:val="0"/>
        <w:autoSpaceDE w:val="0"/>
        <w:autoSpaceDN w:val="0"/>
        <w:bidi w:val="0"/>
        <w:adjustRightInd w:val="0"/>
        <w:snapToGrid w:val="0"/>
        <w:spacing w:line="600" w:lineRule="exact"/>
        <w:jc w:val="both"/>
        <w:textAlignment w:val="baseline"/>
        <w:rPr>
          <w:rFonts w:hint="default" w:ascii="Times New Roman" w:hAnsi="Times New Roman" w:eastAsia="方正仿宋_GBK" w:cs="Times New Roman"/>
          <w:color w:val="auto"/>
          <w:spacing w:val="5"/>
          <w:sz w:val="31"/>
          <w:szCs w:val="31"/>
          <w:highlight w:val="none"/>
        </w:rPr>
        <w:sectPr>
          <w:footerReference r:id="rId12" w:type="default"/>
          <w:pgSz w:w="11907" w:h="16839"/>
          <w:pgMar w:top="2098" w:right="1531" w:bottom="1531" w:left="1531" w:header="0" w:footer="654" w:gutter="0"/>
          <w:pgBorders>
            <w:top w:val="none" w:sz="0" w:space="0"/>
            <w:left w:val="none" w:sz="0" w:space="0"/>
            <w:bottom w:val="none" w:sz="0" w:space="0"/>
            <w:right w:val="none" w:sz="0" w:space="0"/>
          </w:pgBorders>
          <w:pgNumType w:fmt="decimal"/>
          <w:cols w:space="720" w:num="1"/>
        </w:sect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1552" behindDoc="1" locked="0" layoutInCell="1" allowOverlap="1">
                <wp:simplePos x="0" y="0"/>
                <wp:positionH relativeFrom="column">
                  <wp:posOffset>1905</wp:posOffset>
                </wp:positionH>
                <wp:positionV relativeFrom="paragraph">
                  <wp:posOffset>153035</wp:posOffset>
                </wp:positionV>
                <wp:extent cx="7560945" cy="1800225"/>
                <wp:effectExtent l="0" t="0" r="1905" b="9525"/>
                <wp:wrapNone/>
                <wp:docPr id="15" name="Rect 22"/>
                <wp:cNvGraphicFramePr/>
                <a:graphic xmlns:a="http://schemas.openxmlformats.org/drawingml/2006/main">
                  <a:graphicData uri="http://schemas.microsoft.com/office/word/2010/wordprocessingShape">
                    <wps:wsp>
                      <wps:cNvSpPr/>
                      <wps:spPr>
                        <a:xfrm>
                          <a:off x="0" y="-39428"/>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2" o:spid="_x0000_s1026" o:spt="1" style="position:absolute;left:0pt;margin-left:0.15pt;margin-top:12.05pt;height:141.75pt;width:595.35pt;z-index:-251644928;mso-width-relative:page;mso-height-relative:page;" fillcolor="#92D050" filled="t" stroked="f" coordsize="21600,21600" o:gfxdata="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GXpnN1QAAAAgBAAAPAAAAAAAAAAEAIAAAACIAAABkcnMvZG93&#10;bnJldi54bWxQSwECFAAUAAAACACHTuJASiu0ITwCAACLBAAADgAAAAAAAAABACAAAAAk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74930</wp:posOffset>
                </wp:positionH>
                <wp:positionV relativeFrom="paragraph">
                  <wp:posOffset>156845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9pt;margin-top:12.35pt;height:0.5pt;width:595.35pt;z-index:251672576;mso-width-relative:page;mso-height-relative:page;" filled="f" stroked="t" coordsize="11906,10" o:gfxdata="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zIewdcAAAAJAQAADwAAAAAAAAABACAA&#10;AAAiAAAAZHJzL2Rvd25yZXYueG1sUEsBAhQAFAAAAAgAh07iQMzUmTJHAgAAqgQAAA4AAAAAAAAA&#10;AQAgAAAAJgEAAGRycy9lMm9Eb2MueG1sUEsFBgAAAAAGAAYAWQEAAN8FAAAAAA==&#10;" path="m12854,5l-302,5e">
                <v:fill on="f" focussize="0,0"/>
                <v:stroke weight="0.5pt" color="#000000" miterlimit="10" joinstyle="miter" endcap="round"/>
                <v:imagedata o:title=""/>
                <o:lock v:ext="edit" aspectratio="f"/>
              </v:shape>
            </w:pict>
          </mc:Fallback>
        </mc:AlternateContent>
      </w:r>
    </w:p>
    <w:p>
      <w:pPr>
        <w:pStyle w:val="5"/>
        <w:spacing w:line="245" w:lineRule="auto"/>
        <w:rPr>
          <w:rFonts w:hint="default" w:ascii="Times New Roman" w:hAnsi="Times New Roman" w:cs="Times New Roman"/>
          <w:color w:val="auto"/>
          <w:highlight w:val="none"/>
        </w:rPr>
      </w:pPr>
    </w:p>
    <w:p>
      <w:pPr>
        <w:pStyle w:val="5"/>
        <w:spacing w:line="245" w:lineRule="auto"/>
        <w:rPr>
          <w:rFonts w:hint="default" w:ascii="Times New Roman" w:hAnsi="Times New Roman" w:cs="Times New Roman"/>
          <w:color w:val="auto"/>
          <w:highlight w:val="none"/>
        </w:rPr>
      </w:pPr>
    </w:p>
    <w:p>
      <w:pPr>
        <w:pStyle w:val="5"/>
        <w:spacing w:line="246" w:lineRule="auto"/>
        <w:rPr>
          <w:rFonts w:hint="default" w:ascii="Times New Roman" w:hAnsi="Times New Roman" w:cs="Times New Roman"/>
          <w:color w:val="auto"/>
          <w:highlight w:val="none"/>
        </w:rPr>
      </w:pPr>
    </w:p>
    <w:p>
      <w:pPr>
        <w:spacing w:before="191" w:line="232" w:lineRule="auto"/>
        <w:ind w:firstLine="710" w:firstLineChars="100"/>
        <w:outlineLvl w:val="0"/>
        <w:rPr>
          <w:rFonts w:hint="default" w:ascii="Times New Roman" w:hAnsi="Times New Roman" w:eastAsia="方正黑体_GBK" w:cs="Times New Roman"/>
          <w:color w:val="auto"/>
          <w:spacing w:val="-5"/>
          <w:sz w:val="72"/>
          <w:szCs w:val="72"/>
          <w:highlight w:val="none"/>
        </w:rPr>
      </w:pPr>
      <w:bookmarkStart w:id="46" w:name="_Toc71824088"/>
      <w:r>
        <w:rPr>
          <w:rFonts w:hint="default" w:ascii="Times New Roman" w:hAnsi="Times New Roman" w:eastAsia="方正黑体_GBK" w:cs="Times New Roman"/>
          <w:color w:val="auto"/>
          <w:spacing w:val="-5"/>
          <w:sz w:val="72"/>
          <w:szCs w:val="72"/>
          <w:highlight w:val="none"/>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1294765</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0.25pt;margin-top:101.95pt;height:0.5pt;width:595.35pt;z-index:251673600;mso-width-relative:page;mso-height-relative:page;" filled="f" stroked="t" coordsize="11906,10" o:gfxdata="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Yos3dcAAAAJAQAADwAAAAAAAAABACAA&#10;AAAiAAAAZHJzL2Rvd25yZXYueG1sUEsBAhQAFAAAAAgAh07iQCqjzatHAgAAqgQAAA4AAAAAAAAA&#10;AQAgAAAAJgEAAGRycy9lMm9Eb2MueG1sUEsFBgAAAAAGAAYAWQEAAN8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5"/>
          <w:sz w:val="72"/>
          <w:szCs w:val="72"/>
          <w:highlight w:val="none"/>
        </w:rPr>
        <w:t>第四部分</w:t>
      </w:r>
      <w:bookmarkEnd w:id="46"/>
      <w:bookmarkStart w:id="47" w:name="_Toc1511929582"/>
      <w:r>
        <w:rPr>
          <w:rFonts w:hint="eastAsia" w:ascii="Times New Roman" w:hAnsi="Times New Roman" w:eastAsia="方正黑体_GBK" w:cs="Times New Roman"/>
          <w:color w:val="auto"/>
          <w:spacing w:val="-5"/>
          <w:sz w:val="72"/>
          <w:szCs w:val="72"/>
          <w:highlight w:val="none"/>
          <w:lang w:val="en-US" w:eastAsia="zh-CN"/>
        </w:rPr>
        <w:t xml:space="preserve">  </w:t>
      </w:r>
      <w:r>
        <w:rPr>
          <w:rFonts w:hint="default" w:ascii="Times New Roman" w:hAnsi="Times New Roman" w:eastAsia="方正黑体_GBK" w:cs="Times New Roman"/>
          <w:color w:val="auto"/>
          <w:spacing w:val="-5"/>
          <w:sz w:val="72"/>
          <w:szCs w:val="72"/>
          <w:highlight w:val="none"/>
        </w:rPr>
        <w:t>名词解释</w:t>
      </w:r>
      <w:bookmarkEnd w:id="47"/>
    </w:p>
    <w:p>
      <w:pPr>
        <w:spacing w:line="233" w:lineRule="auto"/>
        <w:rPr>
          <w:rFonts w:hint="default" w:ascii="Times New Roman" w:hAnsi="Times New Roman" w:eastAsia="方正黑体_GBK" w:cs="Times New Roman"/>
          <w:color w:val="auto"/>
          <w:sz w:val="72"/>
          <w:szCs w:val="72"/>
          <w:highlight w:val="none"/>
        </w:rPr>
        <w:sectPr>
          <w:footerReference r:id="rId13"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default" w:ascii="Times New Roman" w:hAnsi="Times New Roman" w:eastAsia="Times New Roman" w:cs="Times New Roman"/>
          <w:color w:val="auto"/>
          <w:spacing w:val="8"/>
          <w:sz w:val="31"/>
          <w:szCs w:val="31"/>
          <w:highlight w:val="none"/>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0"/>
          <w:sz w:val="31"/>
          <w:szCs w:val="31"/>
          <w:highlight w:val="none"/>
        </w:rPr>
        <w:t xml:space="preserve"> </w:t>
      </w:r>
      <w:r>
        <w:rPr>
          <w:rFonts w:hint="eastAsia" w:ascii="Times New Roman" w:hAnsi="Times New Roman" w:eastAsia="方正仿宋_GBK" w:cs="Times New Roman"/>
          <w:color w:val="auto"/>
          <w:spacing w:val="7"/>
          <w:sz w:val="31"/>
          <w:szCs w:val="31"/>
          <w:highlight w:val="none"/>
          <w:lang w:val="en-US" w:eastAsia="zh-CN"/>
        </w:rPr>
        <w:t>安仁县消防救援大</w:t>
      </w:r>
      <w:r>
        <w:rPr>
          <w:rFonts w:hint="eastAsia" w:ascii="Times New Roman" w:hAnsi="Times New Roman" w:eastAsia="方正仿宋_GBK" w:cs="Times New Roman"/>
          <w:color w:val="auto"/>
          <w:spacing w:val="7"/>
          <w:sz w:val="31"/>
          <w:szCs w:val="31"/>
          <w:highlight w:val="none"/>
          <w:lang w:eastAsia="zh-CN"/>
        </w:rPr>
        <w:t>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pPr>
        <w:keepNext w:val="0"/>
        <w:keepLines w:val="0"/>
        <w:pageBreakBefore w:val="0"/>
        <w:widowControl/>
        <w:tabs>
          <w:tab w:val="left" w:pos="311"/>
          <w:tab w:val="center" w:pos="4511"/>
        </w:tabs>
        <w:kinsoku w:val="0"/>
        <w:wordWrap/>
        <w:overflowPunct/>
        <w:topLinePunct w:val="0"/>
        <w:autoSpaceDE w:val="0"/>
        <w:autoSpaceDN w:val="0"/>
        <w:bidi w:val="0"/>
        <w:adjustRightInd w:val="0"/>
        <w:snapToGrid w:val="0"/>
        <w:spacing w:line="600" w:lineRule="exact"/>
        <w:ind w:right="0"/>
        <w:jc w:val="lef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1"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eastAsia="方正仿宋_GBK" w:cs="Times New Roman"/>
          <w:color w:val="auto"/>
          <w:spacing w:val="4"/>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default" w:ascii="Times New Roman" w:hAnsi="Times New Roman" w:eastAsia="方正仿宋_GBK" w:cs="Times New Roman"/>
          <w:color w:val="auto"/>
          <w:spacing w:val="-76"/>
          <w:sz w:val="31"/>
          <w:szCs w:val="31"/>
          <w:highlight w:val="none"/>
        </w:rPr>
        <w:t xml:space="preserve"> </w:t>
      </w:r>
      <w:r>
        <w:rPr>
          <w:rFonts w:hint="default" w:ascii="Times New Roman" w:hAnsi="Times New Roman" w:eastAsia="方正仿宋_GBK" w:cs="Times New Roman"/>
          <w:color w:val="auto"/>
          <w:spacing w:val="8"/>
          <w:sz w:val="31"/>
          <w:szCs w:val="31"/>
          <w:highlight w:val="none"/>
        </w:rPr>
        <w:t>纳入中央财政预决算管理的</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0"/>
          <w:sz w:val="31"/>
          <w:szCs w:val="31"/>
          <w:highlight w:val="none"/>
        </w:rPr>
        <w:t xml:space="preserve"> </w:t>
      </w:r>
      <w:r>
        <w:rPr>
          <w:rFonts w:hint="default" w:ascii="Times New Roman" w:hAnsi="Times New Roman" w:eastAsia="方正仿宋_GBK" w:cs="Times New Roman"/>
          <w:color w:val="auto"/>
          <w:spacing w:val="8"/>
          <w:sz w:val="31"/>
          <w:szCs w:val="31"/>
          <w:highlight w:val="none"/>
        </w:rPr>
        <w:t>三公</w:t>
      </w:r>
      <w:r>
        <w:rPr>
          <w:rFonts w:hint="default" w:ascii="Times New Roman" w:hAnsi="Times New Roman" w:eastAsia="Times New Roman" w:cs="Times New Roman"/>
          <w:color w:val="auto"/>
          <w:spacing w:val="8"/>
          <w:sz w:val="31"/>
          <w:szCs w:val="31"/>
          <w:highlight w:val="none"/>
        </w:rPr>
        <w:t>”</w:t>
      </w:r>
      <w:r>
        <w:rPr>
          <w:rFonts w:hint="default" w:ascii="Times New Roman" w:hAnsi="Times New Roman" w:eastAsia="Times New Roman" w:cs="Times New Roman"/>
          <w:color w:val="auto"/>
          <w:spacing w:val="-52"/>
          <w:sz w:val="31"/>
          <w:szCs w:val="31"/>
          <w:highlight w:val="none"/>
        </w:rPr>
        <w:t xml:space="preserve"> </w:t>
      </w:r>
      <w:r>
        <w:rPr>
          <w:rFonts w:hint="default" w:ascii="Times New Roman" w:hAnsi="Times New Roman" w:eastAsia="方正仿宋_GBK" w:cs="Times New Roman"/>
          <w:color w:val="auto"/>
          <w:spacing w:val="8"/>
          <w:sz w:val="31"/>
          <w:szCs w:val="31"/>
          <w:highlight w:val="none"/>
        </w:rPr>
        <w:t>经</w:t>
      </w:r>
      <w:r>
        <w:rPr>
          <w:rFonts w:hint="default" w:ascii="Times New Roman" w:hAnsi="Times New Roman" w:eastAsia="方正仿宋_GBK" w:cs="Times New Roman"/>
          <w:color w:val="auto"/>
          <w:spacing w:val="5"/>
          <w:sz w:val="31"/>
          <w:szCs w:val="31"/>
          <w:highlight w:val="none"/>
        </w:rPr>
        <w:t>费，指中央部门用财政拨款安排的因公出国（境）费、公务用车</w:t>
      </w:r>
      <w:r>
        <w:rPr>
          <w:rFonts w:hint="default" w:ascii="Times New Roman" w:hAnsi="Times New Roman" w:eastAsia="方正仿宋_GBK" w:cs="Times New Roman"/>
          <w:color w:val="auto"/>
          <w:spacing w:val="-4"/>
          <w:sz w:val="31"/>
          <w:szCs w:val="31"/>
          <w:highlight w:val="none"/>
        </w:rPr>
        <w:t>购置及运行维护费和公务接待费。其中，</w:t>
      </w:r>
      <w:r>
        <w:rPr>
          <w:rFonts w:hint="default" w:ascii="Times New Roman" w:hAnsi="Times New Roman" w:eastAsia="方正仿宋_GBK" w:cs="Times New Roman"/>
          <w:color w:val="auto"/>
          <w:spacing w:val="115"/>
          <w:sz w:val="31"/>
          <w:szCs w:val="31"/>
          <w:highlight w:val="none"/>
        </w:rPr>
        <w:t xml:space="preserve"> </w:t>
      </w:r>
      <w:r>
        <w:rPr>
          <w:rFonts w:hint="default" w:ascii="Times New Roman" w:hAnsi="Times New Roman" w:eastAsia="方正仿宋_GBK" w:cs="Times New Roman"/>
          <w:color w:val="auto"/>
          <w:spacing w:val="-4"/>
          <w:sz w:val="31"/>
          <w:szCs w:val="31"/>
          <w:highlight w:val="none"/>
        </w:rPr>
        <w:t>因公出国（境）费反映</w:t>
      </w:r>
      <w:r>
        <w:rPr>
          <w:rFonts w:hint="default" w:ascii="Times New Roman" w:hAnsi="Times New Roman" w:eastAsia="方正仿宋_GBK" w:cs="Times New Roman"/>
          <w:color w:val="auto"/>
          <w:spacing w:val="8"/>
          <w:sz w:val="31"/>
          <w:szCs w:val="31"/>
          <w:highlight w:val="none"/>
        </w:rPr>
        <w:t>单位公务出国（境）的国际旅费、国外城市间交通费、住</w:t>
      </w:r>
      <w:r>
        <w:rPr>
          <w:rFonts w:hint="default" w:ascii="Times New Roman" w:hAnsi="Times New Roman" w:eastAsia="方正仿宋_GBK" w:cs="Times New Roman"/>
          <w:color w:val="auto"/>
          <w:spacing w:val="7"/>
          <w:sz w:val="31"/>
          <w:szCs w:val="31"/>
          <w:highlight w:val="none"/>
        </w:rPr>
        <w:t>宿费、</w:t>
      </w:r>
      <w:r>
        <w:rPr>
          <w:rFonts w:hint="default" w:ascii="Times New Roman" w:hAnsi="Times New Roman" w:eastAsia="方正仿宋_GBK" w:cs="Times New Roman"/>
          <w:color w:val="auto"/>
          <w:spacing w:val="5"/>
          <w:sz w:val="31"/>
          <w:szCs w:val="31"/>
          <w:highlight w:val="none"/>
        </w:rPr>
        <w:t>伙食费、培训费、公杂费等支出；公务用车购置及运行维护费反映单位公务用车车辆购置支出（含车辆购置税）及燃料费、维修费、过路过桥费、保险费、安全奖励费用等支出；公务接待费反</w:t>
      </w:r>
      <w:r>
        <w:rPr>
          <w:rFonts w:hint="default" w:ascii="Times New Roman" w:hAnsi="Times New Roman" w:eastAsia="方正仿宋_GBK" w:cs="Times New Roman"/>
          <w:color w:val="auto"/>
          <w:spacing w:val="4"/>
          <w:sz w:val="31"/>
          <w:szCs w:val="31"/>
          <w:highlight w:val="none"/>
        </w:rPr>
        <w:t>映单位按规定开支的各类公务接待（含外宾接待）</w:t>
      </w:r>
      <w:r>
        <w:rPr>
          <w:rFonts w:hint="default" w:ascii="Times New Roman" w:hAnsi="Times New Roman" w:eastAsia="方正仿宋_GBK" w:cs="Times New Roman"/>
          <w:color w:val="auto"/>
          <w:spacing w:val="-40"/>
          <w:sz w:val="31"/>
          <w:szCs w:val="31"/>
          <w:highlight w:val="none"/>
        </w:rPr>
        <w:t xml:space="preserve"> </w:t>
      </w:r>
      <w:r>
        <w:rPr>
          <w:rFonts w:hint="default" w:ascii="Times New Roman" w:hAnsi="Times New Roman" w:eastAsia="方正仿宋_GBK" w:cs="Times New Roman"/>
          <w:color w:val="auto"/>
          <w:spacing w:val="4"/>
          <w:sz w:val="31"/>
          <w:szCs w:val="31"/>
          <w:highlight w:val="none"/>
        </w:rPr>
        <w:t>支出。</w:t>
      </w:r>
    </w:p>
    <w:p>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p/>
    <w:sectPr>
      <w:footerReference r:id="rId14"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3" w:lineRule="auto"/>
      <w:ind w:left="4164"/>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NWMxYmYxN2QzZmUzYTkzODM5ZGQ3ZjkxYmY2YzEwNWIifQ=="/>
  </w:docVars>
  <w:rsids>
    <w:rsidRoot w:val="00000000"/>
    <w:rsid w:val="0002117A"/>
    <w:rsid w:val="001C5727"/>
    <w:rsid w:val="007200AE"/>
    <w:rsid w:val="00747455"/>
    <w:rsid w:val="00BF1BF0"/>
    <w:rsid w:val="00FB62F5"/>
    <w:rsid w:val="012B64AF"/>
    <w:rsid w:val="01654BD1"/>
    <w:rsid w:val="018A4BE2"/>
    <w:rsid w:val="01E07299"/>
    <w:rsid w:val="02076421"/>
    <w:rsid w:val="024C4F9A"/>
    <w:rsid w:val="025832D3"/>
    <w:rsid w:val="026779BA"/>
    <w:rsid w:val="027D0D0A"/>
    <w:rsid w:val="02CB1CF7"/>
    <w:rsid w:val="02DC72C7"/>
    <w:rsid w:val="033D1969"/>
    <w:rsid w:val="038A3960"/>
    <w:rsid w:val="03D50CA5"/>
    <w:rsid w:val="03DB41BC"/>
    <w:rsid w:val="04206073"/>
    <w:rsid w:val="042232EC"/>
    <w:rsid w:val="043268D5"/>
    <w:rsid w:val="04394E9F"/>
    <w:rsid w:val="043D09D3"/>
    <w:rsid w:val="04610B65"/>
    <w:rsid w:val="047563D0"/>
    <w:rsid w:val="04BF763A"/>
    <w:rsid w:val="04C133B2"/>
    <w:rsid w:val="05452311"/>
    <w:rsid w:val="057523EE"/>
    <w:rsid w:val="057743B8"/>
    <w:rsid w:val="05B178CA"/>
    <w:rsid w:val="062260D2"/>
    <w:rsid w:val="06532730"/>
    <w:rsid w:val="065D3EB9"/>
    <w:rsid w:val="066B5853"/>
    <w:rsid w:val="066D422D"/>
    <w:rsid w:val="06CC4290"/>
    <w:rsid w:val="076517D2"/>
    <w:rsid w:val="07A34FF1"/>
    <w:rsid w:val="07B471FE"/>
    <w:rsid w:val="07B90CB8"/>
    <w:rsid w:val="07CA07CF"/>
    <w:rsid w:val="07E04497"/>
    <w:rsid w:val="0833320F"/>
    <w:rsid w:val="08730E67"/>
    <w:rsid w:val="087944EF"/>
    <w:rsid w:val="089A77C1"/>
    <w:rsid w:val="08AF5FB9"/>
    <w:rsid w:val="08B46BC8"/>
    <w:rsid w:val="08B5322E"/>
    <w:rsid w:val="08D965EC"/>
    <w:rsid w:val="08E73603"/>
    <w:rsid w:val="08F42B09"/>
    <w:rsid w:val="09300B06"/>
    <w:rsid w:val="094B5940"/>
    <w:rsid w:val="095F1B37"/>
    <w:rsid w:val="09A77BE3"/>
    <w:rsid w:val="09B502AE"/>
    <w:rsid w:val="09CF6571"/>
    <w:rsid w:val="09D05AAE"/>
    <w:rsid w:val="09DF42DA"/>
    <w:rsid w:val="0A3B6E18"/>
    <w:rsid w:val="0A886720"/>
    <w:rsid w:val="0A8B3ED8"/>
    <w:rsid w:val="0ABD14C3"/>
    <w:rsid w:val="0AD55E09"/>
    <w:rsid w:val="0AD701FF"/>
    <w:rsid w:val="0B2610D3"/>
    <w:rsid w:val="0B7218AA"/>
    <w:rsid w:val="0B776EC0"/>
    <w:rsid w:val="0BA457DB"/>
    <w:rsid w:val="0BA64D8F"/>
    <w:rsid w:val="0BC419DA"/>
    <w:rsid w:val="0CE71E24"/>
    <w:rsid w:val="0CEB1914"/>
    <w:rsid w:val="0D1D3A97"/>
    <w:rsid w:val="0D4C7340"/>
    <w:rsid w:val="0D5E3553"/>
    <w:rsid w:val="0D676AC1"/>
    <w:rsid w:val="0D6866D2"/>
    <w:rsid w:val="0D8C4BF5"/>
    <w:rsid w:val="0DB5782C"/>
    <w:rsid w:val="0DF76096"/>
    <w:rsid w:val="0E603C3C"/>
    <w:rsid w:val="0EB07C3C"/>
    <w:rsid w:val="0EDB7766"/>
    <w:rsid w:val="0F024CF3"/>
    <w:rsid w:val="0F59428F"/>
    <w:rsid w:val="0F6B527E"/>
    <w:rsid w:val="0F713C26"/>
    <w:rsid w:val="0F896F77"/>
    <w:rsid w:val="0FA82919"/>
    <w:rsid w:val="0FB104C7"/>
    <w:rsid w:val="0FBA381F"/>
    <w:rsid w:val="104D114A"/>
    <w:rsid w:val="107E65FB"/>
    <w:rsid w:val="108A4FA0"/>
    <w:rsid w:val="109C4CD3"/>
    <w:rsid w:val="10A73DA4"/>
    <w:rsid w:val="10F72FB7"/>
    <w:rsid w:val="115E01DA"/>
    <w:rsid w:val="1164141F"/>
    <w:rsid w:val="116E2B13"/>
    <w:rsid w:val="11A26319"/>
    <w:rsid w:val="11A72FBA"/>
    <w:rsid w:val="11B12A00"/>
    <w:rsid w:val="11D0732A"/>
    <w:rsid w:val="12301B77"/>
    <w:rsid w:val="123D6042"/>
    <w:rsid w:val="12B55EA3"/>
    <w:rsid w:val="130102D7"/>
    <w:rsid w:val="13203999"/>
    <w:rsid w:val="13315BA7"/>
    <w:rsid w:val="133236CD"/>
    <w:rsid w:val="136A730B"/>
    <w:rsid w:val="1374430E"/>
    <w:rsid w:val="137D2B9A"/>
    <w:rsid w:val="13A6323C"/>
    <w:rsid w:val="13CE1647"/>
    <w:rsid w:val="13F74766"/>
    <w:rsid w:val="14153FD6"/>
    <w:rsid w:val="143B795A"/>
    <w:rsid w:val="14504752"/>
    <w:rsid w:val="14C5460A"/>
    <w:rsid w:val="15134E53"/>
    <w:rsid w:val="153A34F5"/>
    <w:rsid w:val="15806B32"/>
    <w:rsid w:val="15CD131B"/>
    <w:rsid w:val="15EC0B64"/>
    <w:rsid w:val="1604119D"/>
    <w:rsid w:val="165F6ECF"/>
    <w:rsid w:val="16846532"/>
    <w:rsid w:val="16C31547"/>
    <w:rsid w:val="16FC9498"/>
    <w:rsid w:val="16FF7D6A"/>
    <w:rsid w:val="171026F5"/>
    <w:rsid w:val="17195B84"/>
    <w:rsid w:val="171E4694"/>
    <w:rsid w:val="178169D1"/>
    <w:rsid w:val="178776E9"/>
    <w:rsid w:val="18194E5B"/>
    <w:rsid w:val="18D855A4"/>
    <w:rsid w:val="18F27B86"/>
    <w:rsid w:val="18FE29CF"/>
    <w:rsid w:val="192D5062"/>
    <w:rsid w:val="19596D8C"/>
    <w:rsid w:val="197C38F4"/>
    <w:rsid w:val="19947F54"/>
    <w:rsid w:val="19D607F9"/>
    <w:rsid w:val="19EF056A"/>
    <w:rsid w:val="19EF5010"/>
    <w:rsid w:val="1A1E7039"/>
    <w:rsid w:val="1A4E703E"/>
    <w:rsid w:val="1AA2382E"/>
    <w:rsid w:val="1AED4AA9"/>
    <w:rsid w:val="1B157ABC"/>
    <w:rsid w:val="1B1A121B"/>
    <w:rsid w:val="1C1442B7"/>
    <w:rsid w:val="1C183DA8"/>
    <w:rsid w:val="1C3F5BE8"/>
    <w:rsid w:val="1C5B6059"/>
    <w:rsid w:val="1C6017C5"/>
    <w:rsid w:val="1C7A6434"/>
    <w:rsid w:val="1C7E4554"/>
    <w:rsid w:val="1C9249BA"/>
    <w:rsid w:val="1CF10155"/>
    <w:rsid w:val="1D3639A1"/>
    <w:rsid w:val="1D451948"/>
    <w:rsid w:val="1D5E3A3C"/>
    <w:rsid w:val="1D8A14F0"/>
    <w:rsid w:val="1DA15BB5"/>
    <w:rsid w:val="1DC04AA1"/>
    <w:rsid w:val="1DD261D8"/>
    <w:rsid w:val="1DF95513"/>
    <w:rsid w:val="1E262080"/>
    <w:rsid w:val="1E6A6411"/>
    <w:rsid w:val="1ECC3B29"/>
    <w:rsid w:val="1EE241F9"/>
    <w:rsid w:val="1F034DDF"/>
    <w:rsid w:val="1F2245CB"/>
    <w:rsid w:val="1F4E7AE0"/>
    <w:rsid w:val="1F6E6619"/>
    <w:rsid w:val="1F862454"/>
    <w:rsid w:val="1FA80895"/>
    <w:rsid w:val="1FD86336"/>
    <w:rsid w:val="2009466C"/>
    <w:rsid w:val="20523600"/>
    <w:rsid w:val="206C6470"/>
    <w:rsid w:val="20781741"/>
    <w:rsid w:val="20931C4F"/>
    <w:rsid w:val="21611D4D"/>
    <w:rsid w:val="216549DE"/>
    <w:rsid w:val="21924AC2"/>
    <w:rsid w:val="21937A2C"/>
    <w:rsid w:val="21997739"/>
    <w:rsid w:val="22837AA1"/>
    <w:rsid w:val="229D6DB5"/>
    <w:rsid w:val="23077C1C"/>
    <w:rsid w:val="235F406A"/>
    <w:rsid w:val="237331D3"/>
    <w:rsid w:val="23814E99"/>
    <w:rsid w:val="238241FC"/>
    <w:rsid w:val="23E6478B"/>
    <w:rsid w:val="24015121"/>
    <w:rsid w:val="244F0582"/>
    <w:rsid w:val="24507E57"/>
    <w:rsid w:val="246062EC"/>
    <w:rsid w:val="2479115B"/>
    <w:rsid w:val="24A81A41"/>
    <w:rsid w:val="24BC729A"/>
    <w:rsid w:val="25257535"/>
    <w:rsid w:val="25410085"/>
    <w:rsid w:val="25421E95"/>
    <w:rsid w:val="25526614"/>
    <w:rsid w:val="25592D3B"/>
    <w:rsid w:val="25A55F80"/>
    <w:rsid w:val="25AE3087"/>
    <w:rsid w:val="25D24A2D"/>
    <w:rsid w:val="25EB4D1E"/>
    <w:rsid w:val="25EE39A1"/>
    <w:rsid w:val="25F413E1"/>
    <w:rsid w:val="26192BF6"/>
    <w:rsid w:val="268E1304"/>
    <w:rsid w:val="26D14496"/>
    <w:rsid w:val="26E853A7"/>
    <w:rsid w:val="26ED789E"/>
    <w:rsid w:val="271A1B59"/>
    <w:rsid w:val="273870AC"/>
    <w:rsid w:val="27693709"/>
    <w:rsid w:val="2776688C"/>
    <w:rsid w:val="27A914C2"/>
    <w:rsid w:val="27C22E19"/>
    <w:rsid w:val="27CB43C4"/>
    <w:rsid w:val="27D03788"/>
    <w:rsid w:val="27DE153B"/>
    <w:rsid w:val="288479A5"/>
    <w:rsid w:val="28A30E9D"/>
    <w:rsid w:val="28AC5FA3"/>
    <w:rsid w:val="28C332ED"/>
    <w:rsid w:val="29826927"/>
    <w:rsid w:val="29891E41"/>
    <w:rsid w:val="29D01D35"/>
    <w:rsid w:val="2A443FBA"/>
    <w:rsid w:val="2A6F0067"/>
    <w:rsid w:val="2AE31A25"/>
    <w:rsid w:val="2B8E1A1E"/>
    <w:rsid w:val="2BB46F1D"/>
    <w:rsid w:val="2BB974A6"/>
    <w:rsid w:val="2BED6A85"/>
    <w:rsid w:val="2C097269"/>
    <w:rsid w:val="2C0B2FE1"/>
    <w:rsid w:val="2C2916B9"/>
    <w:rsid w:val="2C4B5AD3"/>
    <w:rsid w:val="2C55425C"/>
    <w:rsid w:val="2C5F50DB"/>
    <w:rsid w:val="2C6426F1"/>
    <w:rsid w:val="2C770676"/>
    <w:rsid w:val="2CD6180A"/>
    <w:rsid w:val="2CEF75BF"/>
    <w:rsid w:val="2D2F2CFF"/>
    <w:rsid w:val="2D3C1E2D"/>
    <w:rsid w:val="2D9711A8"/>
    <w:rsid w:val="2DD438A6"/>
    <w:rsid w:val="2DE30102"/>
    <w:rsid w:val="2DE32107"/>
    <w:rsid w:val="2E0C4DEE"/>
    <w:rsid w:val="2E2257A5"/>
    <w:rsid w:val="2E642E7C"/>
    <w:rsid w:val="2E6C7C3A"/>
    <w:rsid w:val="2EA850C9"/>
    <w:rsid w:val="2EC050F2"/>
    <w:rsid w:val="2ECE5E9F"/>
    <w:rsid w:val="2EEB70FA"/>
    <w:rsid w:val="2F37233F"/>
    <w:rsid w:val="2F794705"/>
    <w:rsid w:val="2F906DA9"/>
    <w:rsid w:val="2F9C6646"/>
    <w:rsid w:val="2FDB2CCA"/>
    <w:rsid w:val="2FE73D65"/>
    <w:rsid w:val="30077F63"/>
    <w:rsid w:val="306E1D90"/>
    <w:rsid w:val="31175F84"/>
    <w:rsid w:val="316D3DF6"/>
    <w:rsid w:val="319E0453"/>
    <w:rsid w:val="31AF3D3F"/>
    <w:rsid w:val="31DD626C"/>
    <w:rsid w:val="31ED1C9A"/>
    <w:rsid w:val="31F34429"/>
    <w:rsid w:val="32001A14"/>
    <w:rsid w:val="3202060F"/>
    <w:rsid w:val="321E1594"/>
    <w:rsid w:val="325356E2"/>
    <w:rsid w:val="325B6344"/>
    <w:rsid w:val="325C44C2"/>
    <w:rsid w:val="327411B4"/>
    <w:rsid w:val="32CE4307"/>
    <w:rsid w:val="32DC7485"/>
    <w:rsid w:val="332A613E"/>
    <w:rsid w:val="33C323F3"/>
    <w:rsid w:val="34360E17"/>
    <w:rsid w:val="346E139E"/>
    <w:rsid w:val="34806536"/>
    <w:rsid w:val="34AB6505"/>
    <w:rsid w:val="34CA25C5"/>
    <w:rsid w:val="34DA3E98"/>
    <w:rsid w:val="34DF14AF"/>
    <w:rsid w:val="35017D54"/>
    <w:rsid w:val="35020CF9"/>
    <w:rsid w:val="350B635F"/>
    <w:rsid w:val="350C1B78"/>
    <w:rsid w:val="351647A5"/>
    <w:rsid w:val="351F7AFD"/>
    <w:rsid w:val="358D0F0B"/>
    <w:rsid w:val="35AB75E3"/>
    <w:rsid w:val="35D73F34"/>
    <w:rsid w:val="35FE7713"/>
    <w:rsid w:val="364A067C"/>
    <w:rsid w:val="36C24BE4"/>
    <w:rsid w:val="36D52B69"/>
    <w:rsid w:val="36E16658"/>
    <w:rsid w:val="37492C0F"/>
    <w:rsid w:val="37557806"/>
    <w:rsid w:val="376A3BC0"/>
    <w:rsid w:val="377C4D93"/>
    <w:rsid w:val="37B95FE7"/>
    <w:rsid w:val="387864DB"/>
    <w:rsid w:val="38B24345"/>
    <w:rsid w:val="38B86862"/>
    <w:rsid w:val="38C73951"/>
    <w:rsid w:val="38CF5396"/>
    <w:rsid w:val="38D2190F"/>
    <w:rsid w:val="390E0EFB"/>
    <w:rsid w:val="39A607ED"/>
    <w:rsid w:val="39A86313"/>
    <w:rsid w:val="39E3734B"/>
    <w:rsid w:val="3A766411"/>
    <w:rsid w:val="3AAA10FE"/>
    <w:rsid w:val="3AC3717D"/>
    <w:rsid w:val="3B201ED9"/>
    <w:rsid w:val="3B390336"/>
    <w:rsid w:val="3C574020"/>
    <w:rsid w:val="3C676D43"/>
    <w:rsid w:val="3CA07775"/>
    <w:rsid w:val="3CA441BD"/>
    <w:rsid w:val="3CEF6007"/>
    <w:rsid w:val="3D167A38"/>
    <w:rsid w:val="3D222DB5"/>
    <w:rsid w:val="3D3B56F0"/>
    <w:rsid w:val="3D421FBB"/>
    <w:rsid w:val="3D430CEE"/>
    <w:rsid w:val="3D5642D8"/>
    <w:rsid w:val="3D5F4115"/>
    <w:rsid w:val="3D65232F"/>
    <w:rsid w:val="3D65276D"/>
    <w:rsid w:val="3D771BF4"/>
    <w:rsid w:val="3D9077EA"/>
    <w:rsid w:val="3DA7301C"/>
    <w:rsid w:val="3DA731A6"/>
    <w:rsid w:val="3DBF148A"/>
    <w:rsid w:val="3DC756F9"/>
    <w:rsid w:val="3DF044B2"/>
    <w:rsid w:val="3E0E4BB3"/>
    <w:rsid w:val="3E1321C9"/>
    <w:rsid w:val="3E6A003B"/>
    <w:rsid w:val="3EF43CA7"/>
    <w:rsid w:val="3EFB0D4E"/>
    <w:rsid w:val="3F0365C7"/>
    <w:rsid w:val="3F3E6DD2"/>
    <w:rsid w:val="3F760C61"/>
    <w:rsid w:val="3F95563F"/>
    <w:rsid w:val="3F966C0E"/>
    <w:rsid w:val="3FA51AEF"/>
    <w:rsid w:val="3FAA4549"/>
    <w:rsid w:val="3FAF65F4"/>
    <w:rsid w:val="3FE4B1B8"/>
    <w:rsid w:val="3FF73B50"/>
    <w:rsid w:val="3FF81676"/>
    <w:rsid w:val="40191C22"/>
    <w:rsid w:val="40210BCD"/>
    <w:rsid w:val="4038148A"/>
    <w:rsid w:val="40572841"/>
    <w:rsid w:val="407A4275"/>
    <w:rsid w:val="40C33A32"/>
    <w:rsid w:val="41125964"/>
    <w:rsid w:val="41547C60"/>
    <w:rsid w:val="41DC6D76"/>
    <w:rsid w:val="42292165"/>
    <w:rsid w:val="42492C9C"/>
    <w:rsid w:val="424961B9"/>
    <w:rsid w:val="42530DE6"/>
    <w:rsid w:val="42884F34"/>
    <w:rsid w:val="42B86E9B"/>
    <w:rsid w:val="42F97BDF"/>
    <w:rsid w:val="43014CE6"/>
    <w:rsid w:val="430420E0"/>
    <w:rsid w:val="43042694"/>
    <w:rsid w:val="430B346F"/>
    <w:rsid w:val="43943303"/>
    <w:rsid w:val="43B9736F"/>
    <w:rsid w:val="43BA50CC"/>
    <w:rsid w:val="43D67F21"/>
    <w:rsid w:val="43E02B4D"/>
    <w:rsid w:val="44315157"/>
    <w:rsid w:val="44384737"/>
    <w:rsid w:val="444A742D"/>
    <w:rsid w:val="446C618F"/>
    <w:rsid w:val="449D459A"/>
    <w:rsid w:val="44BF09B5"/>
    <w:rsid w:val="44C4421D"/>
    <w:rsid w:val="44D13696"/>
    <w:rsid w:val="44E12CED"/>
    <w:rsid w:val="44EC107E"/>
    <w:rsid w:val="45321187"/>
    <w:rsid w:val="45C817B2"/>
    <w:rsid w:val="45CD7101"/>
    <w:rsid w:val="45F9525B"/>
    <w:rsid w:val="4613530C"/>
    <w:rsid w:val="469D6AD4"/>
    <w:rsid w:val="46C95B1B"/>
    <w:rsid w:val="46D30747"/>
    <w:rsid w:val="46FD7572"/>
    <w:rsid w:val="470A5736"/>
    <w:rsid w:val="47213261"/>
    <w:rsid w:val="47881532"/>
    <w:rsid w:val="478D4D9A"/>
    <w:rsid w:val="47AD2D46"/>
    <w:rsid w:val="47DE1152"/>
    <w:rsid w:val="47E435E3"/>
    <w:rsid w:val="48083FFF"/>
    <w:rsid w:val="486F289A"/>
    <w:rsid w:val="48C447EC"/>
    <w:rsid w:val="495C4BAB"/>
    <w:rsid w:val="498F1A31"/>
    <w:rsid w:val="499B66D1"/>
    <w:rsid w:val="49D123EE"/>
    <w:rsid w:val="4A735DEF"/>
    <w:rsid w:val="4A7D4C52"/>
    <w:rsid w:val="4A851D59"/>
    <w:rsid w:val="4A9618CF"/>
    <w:rsid w:val="4ACC5BD9"/>
    <w:rsid w:val="4AF56EDE"/>
    <w:rsid w:val="4B2723A0"/>
    <w:rsid w:val="4B531E57"/>
    <w:rsid w:val="4B663938"/>
    <w:rsid w:val="4B736055"/>
    <w:rsid w:val="4B8244EA"/>
    <w:rsid w:val="4B842010"/>
    <w:rsid w:val="4BCA3E1B"/>
    <w:rsid w:val="4BF30F0E"/>
    <w:rsid w:val="4BF947AC"/>
    <w:rsid w:val="4C0D0258"/>
    <w:rsid w:val="4C4D3F08"/>
    <w:rsid w:val="4CB701C3"/>
    <w:rsid w:val="4CC4300C"/>
    <w:rsid w:val="4CE4545C"/>
    <w:rsid w:val="4D0D79B2"/>
    <w:rsid w:val="4D1675E0"/>
    <w:rsid w:val="4D5325E2"/>
    <w:rsid w:val="4D5636C2"/>
    <w:rsid w:val="4D8207D1"/>
    <w:rsid w:val="4D826C05"/>
    <w:rsid w:val="4D8C33FE"/>
    <w:rsid w:val="4DCA28A4"/>
    <w:rsid w:val="4DDF0AAC"/>
    <w:rsid w:val="4E151645"/>
    <w:rsid w:val="4E6879C7"/>
    <w:rsid w:val="4EB70E15"/>
    <w:rsid w:val="4F000FA0"/>
    <w:rsid w:val="4F1C324D"/>
    <w:rsid w:val="4F376CDC"/>
    <w:rsid w:val="4F460F98"/>
    <w:rsid w:val="4F512B51"/>
    <w:rsid w:val="4F591FFC"/>
    <w:rsid w:val="4F745E2C"/>
    <w:rsid w:val="4F7800DE"/>
    <w:rsid w:val="4F860A4D"/>
    <w:rsid w:val="4FC155E1"/>
    <w:rsid w:val="501B4D1C"/>
    <w:rsid w:val="502918AA"/>
    <w:rsid w:val="50546455"/>
    <w:rsid w:val="50711A7B"/>
    <w:rsid w:val="5080105C"/>
    <w:rsid w:val="50970A38"/>
    <w:rsid w:val="50B7073B"/>
    <w:rsid w:val="50E0418D"/>
    <w:rsid w:val="51361FFF"/>
    <w:rsid w:val="51532BB1"/>
    <w:rsid w:val="515E1F5A"/>
    <w:rsid w:val="518C7E71"/>
    <w:rsid w:val="51D75590"/>
    <w:rsid w:val="52102850"/>
    <w:rsid w:val="522A1B75"/>
    <w:rsid w:val="52384B50"/>
    <w:rsid w:val="52397B4D"/>
    <w:rsid w:val="52595FA5"/>
    <w:rsid w:val="52780ADA"/>
    <w:rsid w:val="529F5982"/>
    <w:rsid w:val="52BA27BB"/>
    <w:rsid w:val="52D61424"/>
    <w:rsid w:val="531D5224"/>
    <w:rsid w:val="532145E9"/>
    <w:rsid w:val="53281E1B"/>
    <w:rsid w:val="536E0BB8"/>
    <w:rsid w:val="53BF62DB"/>
    <w:rsid w:val="53CB5C3E"/>
    <w:rsid w:val="53D224B3"/>
    <w:rsid w:val="53FD20BF"/>
    <w:rsid w:val="540B32CF"/>
    <w:rsid w:val="54290643"/>
    <w:rsid w:val="543078D7"/>
    <w:rsid w:val="547E7F44"/>
    <w:rsid w:val="54AF522D"/>
    <w:rsid w:val="54C31DFB"/>
    <w:rsid w:val="54DB5397"/>
    <w:rsid w:val="54FE2E33"/>
    <w:rsid w:val="550A4AAE"/>
    <w:rsid w:val="55314FB7"/>
    <w:rsid w:val="554A7153"/>
    <w:rsid w:val="556B321E"/>
    <w:rsid w:val="55747599"/>
    <w:rsid w:val="55B834C5"/>
    <w:rsid w:val="55C8213D"/>
    <w:rsid w:val="560D71B2"/>
    <w:rsid w:val="561B17C3"/>
    <w:rsid w:val="56505911"/>
    <w:rsid w:val="567A473C"/>
    <w:rsid w:val="568578F8"/>
    <w:rsid w:val="568D446F"/>
    <w:rsid w:val="56C70332"/>
    <w:rsid w:val="56CB4F97"/>
    <w:rsid w:val="56DB248B"/>
    <w:rsid w:val="573E1C0D"/>
    <w:rsid w:val="57476390"/>
    <w:rsid w:val="574A01DE"/>
    <w:rsid w:val="577E025B"/>
    <w:rsid w:val="57B84A60"/>
    <w:rsid w:val="57C02622"/>
    <w:rsid w:val="57C76041"/>
    <w:rsid w:val="57CA6A87"/>
    <w:rsid w:val="581B1F4E"/>
    <w:rsid w:val="584A6390"/>
    <w:rsid w:val="5851771E"/>
    <w:rsid w:val="58714DD0"/>
    <w:rsid w:val="587F428B"/>
    <w:rsid w:val="58966556"/>
    <w:rsid w:val="58B42F9B"/>
    <w:rsid w:val="58D97E3F"/>
    <w:rsid w:val="59050C34"/>
    <w:rsid w:val="590D6A13"/>
    <w:rsid w:val="5976568E"/>
    <w:rsid w:val="59937EC3"/>
    <w:rsid w:val="5A032C9A"/>
    <w:rsid w:val="5A0E1D6B"/>
    <w:rsid w:val="5A647BDD"/>
    <w:rsid w:val="5A652E2B"/>
    <w:rsid w:val="5A6A4746"/>
    <w:rsid w:val="5A6E2809"/>
    <w:rsid w:val="5A843DDB"/>
    <w:rsid w:val="5AA47FD9"/>
    <w:rsid w:val="5AA93733"/>
    <w:rsid w:val="5ACD317A"/>
    <w:rsid w:val="5B1E08CC"/>
    <w:rsid w:val="5B2353A2"/>
    <w:rsid w:val="5B7756EE"/>
    <w:rsid w:val="5BDC19F5"/>
    <w:rsid w:val="5BE03293"/>
    <w:rsid w:val="5BF959BA"/>
    <w:rsid w:val="5C135D05"/>
    <w:rsid w:val="5CA11009"/>
    <w:rsid w:val="5CF70B75"/>
    <w:rsid w:val="5CFA0384"/>
    <w:rsid w:val="5D414205"/>
    <w:rsid w:val="5D486164"/>
    <w:rsid w:val="5D494E68"/>
    <w:rsid w:val="5D6B1282"/>
    <w:rsid w:val="5D9057B4"/>
    <w:rsid w:val="5DBE13B2"/>
    <w:rsid w:val="5E617BB3"/>
    <w:rsid w:val="5E6E0DE1"/>
    <w:rsid w:val="5EDB6A04"/>
    <w:rsid w:val="5EF5D489"/>
    <w:rsid w:val="5F0E45BB"/>
    <w:rsid w:val="5F456D65"/>
    <w:rsid w:val="5F4E6098"/>
    <w:rsid w:val="5F8B5C0B"/>
    <w:rsid w:val="5FA665A1"/>
    <w:rsid w:val="5FBD69A7"/>
    <w:rsid w:val="5FD0361E"/>
    <w:rsid w:val="5FDA02E7"/>
    <w:rsid w:val="5FE137DD"/>
    <w:rsid w:val="5FFF28F6"/>
    <w:rsid w:val="601237DD"/>
    <w:rsid w:val="60237BF2"/>
    <w:rsid w:val="6062696C"/>
    <w:rsid w:val="606C3347"/>
    <w:rsid w:val="61834DEC"/>
    <w:rsid w:val="6198686E"/>
    <w:rsid w:val="61D35D9C"/>
    <w:rsid w:val="61DA0AAD"/>
    <w:rsid w:val="624D0F56"/>
    <w:rsid w:val="6271733B"/>
    <w:rsid w:val="629923ED"/>
    <w:rsid w:val="629D3C8C"/>
    <w:rsid w:val="62CC27C3"/>
    <w:rsid w:val="62FE04A2"/>
    <w:rsid w:val="631F6D97"/>
    <w:rsid w:val="63282EF4"/>
    <w:rsid w:val="636D4C9D"/>
    <w:rsid w:val="63A1155A"/>
    <w:rsid w:val="63B76EED"/>
    <w:rsid w:val="63BE5405"/>
    <w:rsid w:val="63D556A7"/>
    <w:rsid w:val="643D3E8F"/>
    <w:rsid w:val="64470089"/>
    <w:rsid w:val="645333DA"/>
    <w:rsid w:val="6457430E"/>
    <w:rsid w:val="646A272A"/>
    <w:rsid w:val="64874BF3"/>
    <w:rsid w:val="64DE249A"/>
    <w:rsid w:val="650C6E60"/>
    <w:rsid w:val="655A5E64"/>
    <w:rsid w:val="65766A16"/>
    <w:rsid w:val="658A426F"/>
    <w:rsid w:val="65AE4402"/>
    <w:rsid w:val="660E5B28"/>
    <w:rsid w:val="660F30F2"/>
    <w:rsid w:val="663331E5"/>
    <w:rsid w:val="6650370B"/>
    <w:rsid w:val="66522FDF"/>
    <w:rsid w:val="668C4743"/>
    <w:rsid w:val="66D045C0"/>
    <w:rsid w:val="66D6776C"/>
    <w:rsid w:val="66E93710"/>
    <w:rsid w:val="670E1F54"/>
    <w:rsid w:val="677156E7"/>
    <w:rsid w:val="67C34836"/>
    <w:rsid w:val="67C43A69"/>
    <w:rsid w:val="67CD1BF1"/>
    <w:rsid w:val="68476448"/>
    <w:rsid w:val="685272C6"/>
    <w:rsid w:val="686314D3"/>
    <w:rsid w:val="68815DFE"/>
    <w:rsid w:val="68840010"/>
    <w:rsid w:val="688F44CC"/>
    <w:rsid w:val="68BF1E1C"/>
    <w:rsid w:val="68F24605"/>
    <w:rsid w:val="697231D4"/>
    <w:rsid w:val="698C05B6"/>
    <w:rsid w:val="69AA3132"/>
    <w:rsid w:val="6A507835"/>
    <w:rsid w:val="6A6B0B13"/>
    <w:rsid w:val="6A7C4ACE"/>
    <w:rsid w:val="6A7D43A3"/>
    <w:rsid w:val="6A9E2C97"/>
    <w:rsid w:val="6AAE136F"/>
    <w:rsid w:val="6AEF704E"/>
    <w:rsid w:val="6B0D3978"/>
    <w:rsid w:val="6B2D5DC9"/>
    <w:rsid w:val="6B3929BF"/>
    <w:rsid w:val="6B39476E"/>
    <w:rsid w:val="6BAD2D8D"/>
    <w:rsid w:val="6BAE1909"/>
    <w:rsid w:val="6BB65DBE"/>
    <w:rsid w:val="6BC131D6"/>
    <w:rsid w:val="6BC4672D"/>
    <w:rsid w:val="6BECF404"/>
    <w:rsid w:val="6C3A69EF"/>
    <w:rsid w:val="6C661592"/>
    <w:rsid w:val="6C7D7777"/>
    <w:rsid w:val="6C9F4AA4"/>
    <w:rsid w:val="6CA420BB"/>
    <w:rsid w:val="6CDF1345"/>
    <w:rsid w:val="6D142D9C"/>
    <w:rsid w:val="6D284A9A"/>
    <w:rsid w:val="6D522B48"/>
    <w:rsid w:val="6D9D7236"/>
    <w:rsid w:val="6DAB2C8A"/>
    <w:rsid w:val="6DB66549"/>
    <w:rsid w:val="6DCA3DA3"/>
    <w:rsid w:val="6DDD7632"/>
    <w:rsid w:val="6DFD5F26"/>
    <w:rsid w:val="6E080427"/>
    <w:rsid w:val="6E3A0F28"/>
    <w:rsid w:val="6E6E0BD2"/>
    <w:rsid w:val="6EA463A2"/>
    <w:rsid w:val="6ED553EE"/>
    <w:rsid w:val="6EDFFD94"/>
    <w:rsid w:val="6F024AD9"/>
    <w:rsid w:val="6F2C4D6F"/>
    <w:rsid w:val="6F445A00"/>
    <w:rsid w:val="6F834209"/>
    <w:rsid w:val="702F4862"/>
    <w:rsid w:val="70A0325C"/>
    <w:rsid w:val="70BF74C3"/>
    <w:rsid w:val="710234E6"/>
    <w:rsid w:val="712B4B58"/>
    <w:rsid w:val="712B6906"/>
    <w:rsid w:val="71381023"/>
    <w:rsid w:val="71775FF0"/>
    <w:rsid w:val="724834E8"/>
    <w:rsid w:val="724C7E10"/>
    <w:rsid w:val="72531F1A"/>
    <w:rsid w:val="726245AA"/>
    <w:rsid w:val="72A90FFE"/>
    <w:rsid w:val="72AF3E02"/>
    <w:rsid w:val="72B666A4"/>
    <w:rsid w:val="72B77140"/>
    <w:rsid w:val="72B868C0"/>
    <w:rsid w:val="72C60FDD"/>
    <w:rsid w:val="72E3698D"/>
    <w:rsid w:val="72F5541E"/>
    <w:rsid w:val="731A6F12"/>
    <w:rsid w:val="731E36F9"/>
    <w:rsid w:val="733F2B3D"/>
    <w:rsid w:val="73683E42"/>
    <w:rsid w:val="739E5E3B"/>
    <w:rsid w:val="73A75CC1"/>
    <w:rsid w:val="73BC5F3C"/>
    <w:rsid w:val="7400051E"/>
    <w:rsid w:val="74246567"/>
    <w:rsid w:val="743261FE"/>
    <w:rsid w:val="74424504"/>
    <w:rsid w:val="74AF784E"/>
    <w:rsid w:val="74BBA99A"/>
    <w:rsid w:val="75596138"/>
    <w:rsid w:val="757271FA"/>
    <w:rsid w:val="75B83625"/>
    <w:rsid w:val="75E513DC"/>
    <w:rsid w:val="76191423"/>
    <w:rsid w:val="767A303E"/>
    <w:rsid w:val="76FD487F"/>
    <w:rsid w:val="772B3B04"/>
    <w:rsid w:val="775C3CBE"/>
    <w:rsid w:val="77731007"/>
    <w:rsid w:val="77933457"/>
    <w:rsid w:val="77B533CE"/>
    <w:rsid w:val="77F6BF07"/>
    <w:rsid w:val="78085BF3"/>
    <w:rsid w:val="78177BE5"/>
    <w:rsid w:val="783C764B"/>
    <w:rsid w:val="786F2EE3"/>
    <w:rsid w:val="78E8101C"/>
    <w:rsid w:val="78EA0F28"/>
    <w:rsid w:val="79161383"/>
    <w:rsid w:val="79167F2B"/>
    <w:rsid w:val="793A54E0"/>
    <w:rsid w:val="79497A65"/>
    <w:rsid w:val="795A574B"/>
    <w:rsid w:val="79825532"/>
    <w:rsid w:val="79A100AE"/>
    <w:rsid w:val="79B45486"/>
    <w:rsid w:val="79CF741F"/>
    <w:rsid w:val="79DB73EA"/>
    <w:rsid w:val="79F219C0"/>
    <w:rsid w:val="7A070AC9"/>
    <w:rsid w:val="7A3B4755"/>
    <w:rsid w:val="7AAE5DB4"/>
    <w:rsid w:val="7AB258A2"/>
    <w:rsid w:val="7AB57A01"/>
    <w:rsid w:val="7AC676A0"/>
    <w:rsid w:val="7AF91823"/>
    <w:rsid w:val="7B242D44"/>
    <w:rsid w:val="7B4E1B6F"/>
    <w:rsid w:val="7B762E74"/>
    <w:rsid w:val="7B7DFD98"/>
    <w:rsid w:val="7BC02341"/>
    <w:rsid w:val="7BC053F6"/>
    <w:rsid w:val="7BC736D0"/>
    <w:rsid w:val="7C06244A"/>
    <w:rsid w:val="7C4B4029"/>
    <w:rsid w:val="7CA81753"/>
    <w:rsid w:val="7CF84488"/>
    <w:rsid w:val="7D120D03"/>
    <w:rsid w:val="7D23702C"/>
    <w:rsid w:val="7D364FB1"/>
    <w:rsid w:val="7D7549B5"/>
    <w:rsid w:val="7D7D0339"/>
    <w:rsid w:val="7D7F0706"/>
    <w:rsid w:val="7D8A2C07"/>
    <w:rsid w:val="7D9C12B8"/>
    <w:rsid w:val="7DF40BB3"/>
    <w:rsid w:val="7DFE688B"/>
    <w:rsid w:val="7E1E1F5C"/>
    <w:rsid w:val="7E505BFE"/>
    <w:rsid w:val="7E617E0B"/>
    <w:rsid w:val="7E7F0292"/>
    <w:rsid w:val="7E7F144D"/>
    <w:rsid w:val="7E872D7B"/>
    <w:rsid w:val="7E9F8D93"/>
    <w:rsid w:val="7F0A04A3"/>
    <w:rsid w:val="7F1E5CFC"/>
    <w:rsid w:val="7F271629"/>
    <w:rsid w:val="7F5B7F04"/>
    <w:rsid w:val="7F5D3AC4"/>
    <w:rsid w:val="7F7C7A19"/>
    <w:rsid w:val="7F947D6D"/>
    <w:rsid w:val="7FBE88D1"/>
    <w:rsid w:val="7FEF48E5"/>
    <w:rsid w:val="7FF16F6D"/>
    <w:rsid w:val="7FFB015E"/>
    <w:rsid w:val="9EB94E23"/>
    <w:rsid w:val="9FE78EE5"/>
    <w:rsid w:val="A0BE8820"/>
    <w:rsid w:val="AD37A943"/>
    <w:rsid w:val="BCDFECE1"/>
    <w:rsid w:val="BDDDC35A"/>
    <w:rsid w:val="DE328A6C"/>
    <w:rsid w:val="F1761106"/>
    <w:rsid w:val="F4FA5FF6"/>
    <w:rsid w:val="F77F117D"/>
    <w:rsid w:val="F9FF609F"/>
    <w:rsid w:val="FBCC9670"/>
    <w:rsid w:val="FCEF6854"/>
    <w:rsid w:val="FDDF13EC"/>
    <w:rsid w:val="FE724596"/>
    <w:rsid w:val="FF5BC0AF"/>
    <w:rsid w:val="FFBB209A"/>
    <w:rsid w:val="FFDE09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4">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6">
    <w:name w:val="font51"/>
    <w:basedOn w:val="13"/>
    <w:qFormat/>
    <w:uiPriority w:val="0"/>
    <w:rPr>
      <w:rFonts w:hint="eastAsia" w:ascii="宋体" w:hAnsi="宋体" w:eastAsia="宋体" w:cs="宋体"/>
      <w:color w:val="000000"/>
      <w:sz w:val="16"/>
      <w:szCs w:val="16"/>
      <w:u w:val="none"/>
    </w:rPr>
  </w:style>
  <w:style w:type="character" w:customStyle="1" w:styleId="17">
    <w:name w:val="font11"/>
    <w:basedOn w:val="13"/>
    <w:qFormat/>
    <w:uiPriority w:val="0"/>
    <w:rPr>
      <w:rFonts w:hint="default" w:ascii="Times New Roman" w:hAnsi="Times New Roman" w:cs="Times New Roman"/>
      <w:color w:val="000000"/>
      <w:sz w:val="16"/>
      <w:szCs w:val="16"/>
      <w:u w:val="none"/>
    </w:rPr>
  </w:style>
  <w:style w:type="character" w:customStyle="1" w:styleId="18">
    <w:name w:val="font61"/>
    <w:basedOn w:val="13"/>
    <w:qFormat/>
    <w:uiPriority w:val="0"/>
    <w:rPr>
      <w:rFonts w:hint="eastAsia" w:ascii="宋体" w:hAnsi="宋体" w:eastAsia="宋体" w:cs="宋体"/>
      <w:color w:val="000000"/>
      <w:sz w:val="18"/>
      <w:szCs w:val="18"/>
      <w:u w:val="none"/>
    </w:rPr>
  </w:style>
  <w:style w:type="character" w:customStyle="1" w:styleId="19">
    <w:name w:val="font31"/>
    <w:basedOn w:val="13"/>
    <w:qFormat/>
    <w:uiPriority w:val="0"/>
    <w:rPr>
      <w:rFonts w:hint="default" w:ascii="Times New Roman" w:hAnsi="Times New Roman" w:cs="Times New Roman"/>
      <w:color w:val="000000"/>
      <w:sz w:val="18"/>
      <w:szCs w:val="18"/>
      <w:u w:val="none"/>
    </w:rPr>
  </w:style>
  <w:style w:type="paragraph" w:customStyle="1" w:styleId="20">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21">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22">
    <w:name w:val="font01"/>
    <w:basedOn w:val="13"/>
    <w:qFormat/>
    <w:uiPriority w:val="0"/>
    <w:rPr>
      <w:rFonts w:hint="eastAsia" w:ascii="宋体" w:hAnsi="宋体" w:eastAsia="宋体" w:cs="宋体"/>
      <w:color w:val="000000"/>
      <w:sz w:val="16"/>
      <w:szCs w:val="16"/>
      <w:u w:val="none"/>
    </w:rPr>
  </w:style>
  <w:style w:type="character" w:customStyle="1" w:styleId="23">
    <w:name w:val="font41"/>
    <w:basedOn w:val="13"/>
    <w:qFormat/>
    <w:uiPriority w:val="0"/>
    <w:rPr>
      <w:rFonts w:hint="eastAsia" w:ascii="宋体" w:hAnsi="宋体" w:eastAsia="宋体" w:cs="宋体"/>
      <w:color w:val="000000"/>
      <w:sz w:val="16"/>
      <w:szCs w:val="16"/>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paragraph" w:customStyle="1" w:styleId="2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chart" Target="charts/chart5.xml"/><Relationship Id="rId20" Type="http://schemas.openxmlformats.org/officeDocument/2006/relationships/chart" Target="charts/chart4.xml"/><Relationship Id="rId2" Type="http://schemas.openxmlformats.org/officeDocument/2006/relationships/settings" Target="settings.xml"/><Relationship Id="rId19" Type="http://schemas.openxmlformats.org/officeDocument/2006/relationships/chart" Target="charts/chart3.xml"/><Relationship Id="rId18" Type="http://schemas.openxmlformats.org/officeDocument/2006/relationships/chart" Target="charts/chart2.xml"/><Relationship Id="rId17" Type="http://schemas.openxmlformats.org/officeDocument/2006/relationships/chart" Target="charts/chart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Administrator\Desktop\&#26032;&#24314;%20XLS%20&#24037;&#20316;&#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Desktop\&#26032;&#24314;%20XLS%20&#24037;&#20316;&#34920;.xls"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20&#24037;&#20316;&#34920;.xls"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dministrator\Desktop\&#26032;&#24314;%20XLS%20&#24037;&#20316;&#34920;.xls"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6032;&#24314;%20XLS%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收、支决算总计变动情况（单位：万元）</a:t>
            </a:r>
          </a:p>
        </c:rich>
      </c:tx>
      <c:layout/>
      <c:overlay val="0"/>
      <c:spPr>
        <a:noFill/>
        <a:ln>
          <a:noFill/>
        </a:ln>
        <a:effectLst/>
      </c:spPr>
    </c:title>
    <c:autoTitleDeleted val="0"/>
    <c:plotArea>
      <c:layout/>
      <c:barChart>
        <c:barDir val="col"/>
        <c:grouping val="stacked"/>
        <c:varyColors val="0"/>
        <c:ser>
          <c:idx val="0"/>
          <c:order val="0"/>
          <c:spPr>
            <a:solidFill>
              <a:srgbClr val="FF0000"/>
            </a:solidFill>
            <a:ln>
              <a:solidFill>
                <a:schemeClr val="bg1"/>
              </a:solidFill>
            </a:ln>
            <a:effectLst/>
          </c:spPr>
          <c:invertIfNegative val="0"/>
          <c:dPt>
            <c:idx val="1"/>
            <c:invertIfNegative val="0"/>
            <c:bubble3D val="0"/>
            <c:spPr>
              <a:solidFill>
                <a:srgbClr val="00B0F0"/>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2025年收入</c:v>
                </c:pt>
                <c:pt idx="1">
                  <c:v>2024年收入</c:v>
                </c:pt>
              </c:strCache>
            </c:strRef>
          </c:cat>
          <c:val>
            <c:numRef>
              <c:f>'[新建 XLS 工作表.xls]Sheet1'!$B$1:$B$2</c:f>
              <c:numCache>
                <c:formatCode>#,##0.00</c:formatCode>
                <c:ptCount val="2"/>
                <c:pt idx="0">
                  <c:v>2242.67</c:v>
                </c:pt>
                <c:pt idx="1">
                  <c:v>1997.07</c:v>
                </c:pt>
              </c:numCache>
            </c:numRef>
          </c:val>
        </c:ser>
        <c:dLbls>
          <c:showLegendKey val="0"/>
          <c:showVal val="1"/>
          <c:showCatName val="0"/>
          <c:showSerName val="0"/>
          <c:showPercent val="0"/>
          <c:showBubbleSize val="0"/>
        </c:dLbls>
        <c:gapWidth val="246"/>
        <c:overlap val="100"/>
        <c:axId val="74736571"/>
        <c:axId val="30773673"/>
      </c:barChart>
      <c:catAx>
        <c:axId val="7473657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773673"/>
        <c:crosses val="autoZero"/>
        <c:auto val="1"/>
        <c:lblAlgn val="ctr"/>
        <c:lblOffset val="100"/>
        <c:noMultiLvlLbl val="0"/>
      </c:catAx>
      <c:valAx>
        <c:axId val="30773673"/>
        <c:scaling>
          <c:orientation val="minMax"/>
        </c:scaling>
        <c:delete val="0"/>
        <c:axPos val="l"/>
        <c:majorGridlines>
          <c:spPr>
            <a:ln w="9525" cap="flat" cmpd="sng" algn="ctr">
              <a:solidFill>
                <a:schemeClr val="bg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73657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pattFill prst="pct5">
      <a:fgClr>
        <a:schemeClr val="bg1"/>
      </a:fgClr>
      <a:bgClr>
        <a:schemeClr val="bg1"/>
      </a:bgClr>
    </a:patt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收入决算结构（单位：万元）</a:t>
            </a:r>
          </a:p>
          <a:p>
            <a:pPr defTabSz="914400">
              <a:defRPr lang="zh-CN" sz="1400" b="1" i="0" u="none" strike="noStrike" kern="1200" baseline="0">
                <a:solidFill>
                  <a:schemeClr val="dk1">
                    <a:lumMod val="75000"/>
                    <a:lumOff val="25000"/>
                  </a:schemeClr>
                </a:solidFill>
                <a:latin typeface="+mn-lt"/>
                <a:ea typeface="+mn-ea"/>
                <a:cs typeface="+mn-cs"/>
              </a:defRPr>
            </a:pP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scene3d>
              <a:camera prst="orthographicFront"/>
              <a:lightRig rig="threePt" dir="t"/>
            </a:scene3d>
            <a:sp3d contourW="9525"/>
          </c:spPr>
          <c:explosion val="0"/>
          <c:dPt>
            <c:idx val="0"/>
            <c:bubble3D val="0"/>
            <c:spPr>
              <a:solidFill>
                <a:schemeClr val="accent1"/>
              </a:solidFill>
              <a:ln>
                <a:solidFill>
                  <a:schemeClr val="bg1"/>
                </a:solidFill>
              </a:ln>
              <a:effectLst/>
              <a:scene3d>
                <a:camera prst="orthographicFront"/>
                <a:lightRig rig="threePt" dir="t"/>
              </a:scene3d>
              <a:sp3d contourW="9525"/>
            </c:spPr>
          </c:dPt>
          <c:dPt>
            <c:idx val="1"/>
            <c:bubble3D val="0"/>
            <c:spPr>
              <a:solidFill>
                <a:schemeClr val="accent2"/>
              </a:solidFill>
              <a:ln>
                <a:solidFill>
                  <a:schemeClr val="bg1"/>
                </a:solidFill>
              </a:ln>
              <a:effectLst/>
              <a:scene3d>
                <a:camera prst="orthographicFront"/>
                <a:lightRig rig="threePt" dir="t"/>
              </a:scene3d>
              <a:sp3d contourW="9525"/>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49.78万元,</a:t>
                    </a:r>
                    <a:r>
                      <a:rPr lang="en-US" altLang="zh-CN"/>
                      <a:t> </a:t>
                    </a:r>
                    <a:endParaRPr lang="en-US" altLang="zh-CN"/>
                  </a:p>
                  <a:p>
                    <a:pPr defTabSz="914400">
                      <a:defRPr lang="zh-CN" sz="1000" b="0" i="0" u="none" strike="noStrike" kern="1200" baseline="0">
                        <a:solidFill>
                          <a:schemeClr val="tx1">
                            <a:lumMod val="75000"/>
                            <a:lumOff val="25000"/>
                          </a:schemeClr>
                        </a:solidFill>
                        <a:latin typeface="+mn-lt"/>
                        <a:ea typeface="+mn-ea"/>
                        <a:cs typeface="+mn-cs"/>
                      </a:defRPr>
                    </a:pPr>
                    <a:r>
                      <a:t> 4.18%</a:t>
                    </a:r>
                  </a:p>
                </c:rich>
              </c:tx>
              <c:dLblPos val="bestFit"/>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1,140.01万元, 95.82%</a:t>
                    </a:r>
                  </a:p>
                </c:rich>
              </c:tx>
              <c:dLblPos val="bestFit"/>
              <c:showLegendKey val="0"/>
              <c:showVal val="1"/>
              <c:showCatName val="0"/>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一般公共预算财政拨款</c:v>
                </c:pt>
                <c:pt idx="1">
                  <c:v>其他收入</c:v>
                </c:pt>
              </c:strCache>
            </c:strRef>
          </c:cat>
          <c:val>
            <c:numRef>
              <c:f>'[新建 XLS 工作表.xls]Sheet1'!$B$1:$B$2</c:f>
              <c:numCache>
                <c:formatCode>#,##0.00_ </c:formatCode>
                <c:ptCount val="2"/>
                <c:pt idx="0">
                  <c:v>49.78</c:v>
                </c:pt>
                <c:pt idx="1">
                  <c:v>1140.01</c:v>
                </c:pt>
              </c:numCache>
            </c:numRef>
          </c:val>
        </c:ser>
        <c:dLbls>
          <c:showLegendKey val="0"/>
          <c:showVal val="1"/>
          <c:showCatName val="0"/>
          <c:showSerName val="0"/>
          <c:showPercent val="0"/>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支出决算结构（单位：万元）</a:t>
            </a:r>
          </a:p>
          <a:p>
            <a:pPr defTabSz="914400">
              <a:defRPr lang="zh-CN" sz="1400" b="1" i="0" u="none" strike="noStrike" kern="1200" baseline="0">
                <a:solidFill>
                  <a:schemeClr val="dk1">
                    <a:lumMod val="75000"/>
                    <a:lumOff val="25000"/>
                  </a:schemeClr>
                </a:solidFill>
                <a:latin typeface="+mn-lt"/>
                <a:ea typeface="+mn-ea"/>
                <a:cs typeface="+mn-cs"/>
              </a:defRPr>
            </a:pP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manualLayout>
          <c:layoutTarget val="inner"/>
          <c:xMode val="edge"/>
          <c:yMode val="edge"/>
          <c:x val="0.0838947368421053"/>
          <c:y val="0.289569444444444"/>
          <c:w val="0.829052631578947"/>
          <c:h val="0.519240740740741"/>
        </c:manualLayout>
      </c:layout>
      <c:pie3DChart>
        <c:varyColors val="1"/>
        <c:ser>
          <c:idx val="0"/>
          <c:order val="0"/>
          <c:spPr>
            <a:scene3d>
              <a:camera prst="orthographicFront"/>
              <a:lightRig rig="threePt" dir="t"/>
            </a:scene3d>
            <a:sp3d contourW="9525"/>
          </c:spPr>
          <c:explosion val="0"/>
          <c:dPt>
            <c:idx val="0"/>
            <c:bubble3D val="0"/>
            <c:spPr>
              <a:solidFill>
                <a:schemeClr val="accent1"/>
              </a:solidFill>
              <a:ln>
                <a:solidFill>
                  <a:schemeClr val="bg1"/>
                </a:solidFill>
              </a:ln>
              <a:effectLst/>
              <a:scene3d>
                <a:camera prst="orthographicFront"/>
                <a:lightRig rig="threePt" dir="t"/>
              </a:scene3d>
              <a:sp3d contourW="9525"/>
            </c:spPr>
          </c:dPt>
          <c:dPt>
            <c:idx val="1"/>
            <c:bubble3D val="0"/>
            <c:spPr>
              <a:solidFill>
                <a:schemeClr val="accent2"/>
              </a:solidFill>
              <a:ln>
                <a:solidFill>
                  <a:schemeClr val="bg1"/>
                </a:solidFill>
              </a:ln>
              <a:effectLst/>
              <a:scene3d>
                <a:camera prst="orthographicFront"/>
                <a:lightRig rig="threePt" dir="t"/>
              </a:scene3d>
              <a:sp3d contourW="9525"/>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483.99万元, 36.77%</a:t>
                    </a:r>
                  </a:p>
                </c:rich>
              </c:tx>
              <c:dLblPos val="inEnd"/>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832.42万元, 63.23%</a:t>
                    </a:r>
                  </a:p>
                </c:rich>
              </c:tx>
              <c:dLblPos val="inEnd"/>
              <c:showLegendKey val="0"/>
              <c:showVal val="1"/>
              <c:showCatName val="0"/>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基本支出</c:v>
                </c:pt>
                <c:pt idx="1">
                  <c:v>项目支出</c:v>
                </c:pt>
              </c:strCache>
            </c:strRef>
          </c:cat>
          <c:val>
            <c:numRef>
              <c:f>'[新建 XLS 工作表.xls]Sheet1'!$B$1:$B$2</c:f>
              <c:numCache>
                <c:formatCode>General</c:formatCode>
                <c:ptCount val="2"/>
                <c:pt idx="0">
                  <c:v>483.99</c:v>
                </c:pt>
                <c:pt idx="1">
                  <c:v>832.42</c:v>
                </c:pt>
              </c:numCache>
            </c:numRef>
          </c:val>
        </c:ser>
        <c:dLbls>
          <c:showLegendKey val="0"/>
          <c:showVal val="1"/>
          <c:showCatName val="0"/>
          <c:showSerName val="0"/>
          <c:showPercent val="0"/>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财政拨款收、支决算总计变动情况（单位：万元）</a:t>
            </a:r>
          </a:p>
          <a:p>
            <a:pPr defTabSz="914400">
              <a:defRPr lang="zh-CN" sz="1400" b="1" i="0" u="none" strike="noStrike" kern="1200" baseline="0">
                <a:solidFill>
                  <a:schemeClr val="dk1">
                    <a:lumMod val="75000"/>
                    <a:lumOff val="25000"/>
                  </a:schemeClr>
                </a:solidFill>
                <a:latin typeface="+mn-lt"/>
                <a:ea typeface="+mn-ea"/>
                <a:cs typeface="+mn-cs"/>
              </a:defRPr>
            </a:pPr>
          </a:p>
        </c:rich>
      </c:tx>
      <c:layout>
        <c:manualLayout>
          <c:xMode val="edge"/>
          <c:yMode val="edge"/>
          <c:x val="0.0897368421052632"/>
          <c:y val="0.00833333333333333"/>
        </c:manualLayout>
      </c:layout>
      <c:overlay val="0"/>
      <c:spPr>
        <a:noFill/>
        <a:ln>
          <a:noFill/>
        </a:ln>
        <a:effectLst/>
      </c:spPr>
    </c:title>
    <c:autoTitleDeleted val="0"/>
    <c:plotArea>
      <c:layout/>
      <c:barChart>
        <c:barDir val="col"/>
        <c:grouping val="stacked"/>
        <c:varyColors val="0"/>
        <c:ser>
          <c:idx val="0"/>
          <c:order val="0"/>
          <c:spPr>
            <a:solidFill>
              <a:srgbClr val="FF0000"/>
            </a:solidFill>
            <a:ln>
              <a:solidFill>
                <a:schemeClr val="bg1"/>
              </a:solidFill>
            </a:ln>
            <a:effectLst/>
          </c:spPr>
          <c:invertIfNegative val="0"/>
          <c:dPt>
            <c:idx val="1"/>
            <c:invertIfNegative val="0"/>
            <c:bubble3D val="0"/>
            <c:spPr>
              <a:solidFill>
                <a:srgbClr val="00B0F0"/>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2025年收入</c:v>
                </c:pt>
                <c:pt idx="1">
                  <c:v>2024年收入</c:v>
                </c:pt>
              </c:strCache>
            </c:strRef>
          </c:cat>
          <c:val>
            <c:numRef>
              <c:f>'[新建 XLS 工作表.xls]Sheet1'!$B$1:$B$2</c:f>
              <c:numCache>
                <c:formatCode>General</c:formatCode>
                <c:ptCount val="2"/>
                <c:pt idx="0">
                  <c:v>49.78</c:v>
                </c:pt>
                <c:pt idx="1">
                  <c:v>49.18</c:v>
                </c:pt>
              </c:numCache>
            </c:numRef>
          </c:val>
        </c:ser>
        <c:dLbls>
          <c:showLegendKey val="0"/>
          <c:showVal val="1"/>
          <c:showCatName val="0"/>
          <c:showSerName val="0"/>
          <c:showPercent val="0"/>
          <c:showBubbleSize val="0"/>
        </c:dLbls>
        <c:gapWidth val="246"/>
        <c:overlap val="100"/>
        <c:axId val="219777165"/>
        <c:axId val="450366511"/>
      </c:barChart>
      <c:catAx>
        <c:axId val="21977716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50366511"/>
        <c:crosses val="autoZero"/>
        <c:auto val="1"/>
        <c:lblAlgn val="ctr"/>
        <c:lblOffset val="100"/>
        <c:noMultiLvlLbl val="0"/>
      </c:catAx>
      <c:valAx>
        <c:axId val="450366511"/>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977716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财政拨款支出决算总计变动情况（单位：万元）</a:t>
            </a:r>
          </a:p>
          <a:p>
            <a:pPr defTabSz="914400">
              <a:defRPr lang="zh-CN" sz="1400" b="1" i="0" u="none" strike="noStrike" kern="1200" baseline="0">
                <a:solidFill>
                  <a:schemeClr val="dk1">
                    <a:lumMod val="75000"/>
                    <a:lumOff val="25000"/>
                  </a:schemeClr>
                </a:solidFill>
                <a:latin typeface="+mn-lt"/>
                <a:ea typeface="+mn-ea"/>
                <a:cs typeface="+mn-cs"/>
              </a:defRPr>
            </a:pPr>
          </a:p>
        </c:rich>
      </c:tx>
      <c:layout>
        <c:manualLayout>
          <c:xMode val="edge"/>
          <c:yMode val="edge"/>
          <c:x val="0.0897368421052632"/>
          <c:y val="0.00833333333333333"/>
        </c:manualLayout>
      </c:layout>
      <c:overlay val="0"/>
      <c:spPr>
        <a:noFill/>
        <a:ln>
          <a:noFill/>
        </a:ln>
        <a:effectLst/>
      </c:spPr>
    </c:title>
    <c:autoTitleDeleted val="0"/>
    <c:plotArea>
      <c:layout/>
      <c:barChart>
        <c:barDir val="col"/>
        <c:grouping val="stacked"/>
        <c:varyColors val="0"/>
        <c:ser>
          <c:idx val="0"/>
          <c:order val="0"/>
          <c:spPr>
            <a:solidFill>
              <a:srgbClr val="FF0000"/>
            </a:solidFill>
            <a:ln>
              <a:solidFill>
                <a:schemeClr val="bg1"/>
              </a:solidFill>
            </a:ln>
            <a:effectLst/>
          </c:spPr>
          <c:invertIfNegative val="0"/>
          <c:dPt>
            <c:idx val="1"/>
            <c:invertIfNegative val="0"/>
            <c:bubble3D val="0"/>
            <c:spPr>
              <a:solidFill>
                <a:srgbClr val="00B0F0"/>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2025年支出</c:v>
                </c:pt>
                <c:pt idx="1">
                  <c:v>2024年支出</c:v>
                </c:pt>
              </c:strCache>
            </c:strRef>
          </c:cat>
          <c:val>
            <c:numRef>
              <c:f>'[新建 XLS 工作表.xls]Sheet1'!$B$1:$B$2</c:f>
              <c:numCache>
                <c:formatCode>General</c:formatCode>
                <c:ptCount val="2"/>
                <c:pt idx="0">
                  <c:v>49.78</c:v>
                </c:pt>
                <c:pt idx="1">
                  <c:v>49.18</c:v>
                </c:pt>
              </c:numCache>
            </c:numRef>
          </c:val>
        </c:ser>
        <c:dLbls>
          <c:showLegendKey val="0"/>
          <c:showVal val="1"/>
          <c:showCatName val="0"/>
          <c:showSerName val="0"/>
          <c:showPercent val="0"/>
          <c:showBubbleSize val="0"/>
        </c:dLbls>
        <c:gapWidth val="246"/>
        <c:overlap val="100"/>
        <c:axId val="219777165"/>
        <c:axId val="450366511"/>
      </c:barChart>
      <c:catAx>
        <c:axId val="21977716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50366511"/>
        <c:crosses val="autoZero"/>
        <c:auto val="1"/>
        <c:lblAlgn val="ctr"/>
        <c:lblOffset val="100"/>
        <c:noMultiLvlLbl val="0"/>
      </c:catAx>
      <c:valAx>
        <c:axId val="450366511"/>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1977716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1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1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1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3362</Words>
  <Characters>4983</Characters>
  <TotalTime>16</TotalTime>
  <ScaleCrop>false</ScaleCrop>
  <LinksUpToDate>false</LinksUpToDate>
  <CharactersWithSpaces>5322</CharactersWithSpaces>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2026-05-31T02:05:00Z</dcterms:created>
  <dc:creator>admin</dc:creator>
  <cp:lastModifiedBy>Administrator</cp:lastModifiedBy>
  <cp:lastPrinted>2026-07-27T01:21:00Z</cp:lastPrinted>
  <dcterms:modified xsi:type="dcterms:W3CDTF">2026-09-01T00:57:22Z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eyJoZGlkIjoiNGRmMDE0YmUxM2EyNWRhZDIxYjlmMzgzN2IxNzFlZjciLCJ1c2VySWQiOiIzOTg1NzUzMzgifQ==</vt:lpwstr>
  </property>
  <property fmtid="{D5CDD505-2E9C-101B-9397-08002B2CF9AE}" pid="5" name="KSOProductBuildVer">
    <vt:lpwstr>2052-12.1.0.15374</vt:lpwstr>
  </property>
  <property fmtid="{D5CDD505-2E9C-101B-9397-08002B2CF9AE}" pid="6" name="ICV">
    <vt:lpwstr>CAB0A7A28B294258BD45A56DB963A65A_13</vt:lpwstr>
  </property>
</Properties>
</file>